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74" w:rsidRPr="00885A74" w:rsidRDefault="00885A74" w:rsidP="00885A74">
      <w:pPr>
        <w:pStyle w:val="Tytu"/>
        <w:rPr>
          <w:sz w:val="40"/>
          <w:szCs w:val="40"/>
          <w:lang w:val="pl-PL"/>
        </w:rPr>
      </w:pPr>
      <w:r w:rsidRPr="00885A74">
        <w:rPr>
          <w:sz w:val="40"/>
          <w:szCs w:val="40"/>
          <w:lang w:val="pl-PL"/>
        </w:rPr>
        <w:t>Proces uczenia się a rozwój kompetencji kluczowych</w:t>
      </w:r>
    </w:p>
    <w:p w:rsidR="004364C0" w:rsidRDefault="004364C0" w:rsidP="004364C0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b/>
          <w:sz w:val="24"/>
          <w:szCs w:val="24"/>
          <w:lang w:val="pl-PL"/>
        </w:rPr>
        <w:t>Moduł III.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4364C0" w:rsidRDefault="004364C0" w:rsidP="004364C0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885A74" w:rsidRDefault="00885A74" w:rsidP="00885A74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885A74" w:rsidRPr="00885A74" w:rsidRDefault="00885A74" w:rsidP="00885A74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885A74">
        <w:rPr>
          <w:rFonts w:asciiTheme="majorHAnsi" w:hAnsiTheme="majorHAnsi" w:cstheme="majorHAnsi"/>
          <w:b/>
          <w:sz w:val="24"/>
          <w:szCs w:val="24"/>
          <w:lang w:val="pl-PL"/>
        </w:rPr>
        <w:t>Cele</w:t>
      </w:r>
    </w:p>
    <w:p w:rsidR="00885A74" w:rsidRPr="00885A74" w:rsidRDefault="00885A74" w:rsidP="00885A74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Uczestnik szkolenia: </w:t>
      </w:r>
    </w:p>
    <w:p w:rsidR="00885A74" w:rsidRDefault="00885A74" w:rsidP="00885A74">
      <w:pPr>
        <w:pStyle w:val="Akapitzlist"/>
        <w:numPr>
          <w:ilvl w:val="0"/>
          <w:numId w:val="10"/>
        </w:numPr>
        <w:spacing w:after="200"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85A74">
        <w:rPr>
          <w:rFonts w:asciiTheme="majorHAnsi" w:hAnsiTheme="majorHAnsi" w:cstheme="majorHAnsi"/>
          <w:sz w:val="24"/>
          <w:szCs w:val="24"/>
          <w:lang w:val="pl-PL"/>
        </w:rPr>
        <w:t>opisuje</w:t>
      </w:r>
      <w:proofErr w:type="gramEnd"/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przebieg procesu uczenia się;</w:t>
      </w:r>
    </w:p>
    <w:p w:rsidR="00885A74" w:rsidRDefault="00885A74" w:rsidP="00885A74">
      <w:pPr>
        <w:pStyle w:val="Akapitzlist"/>
        <w:numPr>
          <w:ilvl w:val="0"/>
          <w:numId w:val="10"/>
        </w:numPr>
        <w:spacing w:after="200"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85A74">
        <w:rPr>
          <w:rFonts w:asciiTheme="majorHAnsi" w:hAnsiTheme="majorHAnsi" w:cstheme="majorHAnsi"/>
          <w:sz w:val="24"/>
          <w:szCs w:val="24"/>
          <w:lang w:val="pl-PL"/>
        </w:rPr>
        <w:t>określa</w:t>
      </w:r>
      <w:proofErr w:type="gramEnd"/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czynniki wpływające na efektywność procesu uczenia się, które wynikają z najnowszej wiedzy i badań;</w:t>
      </w:r>
    </w:p>
    <w:p w:rsidR="00885A74" w:rsidRDefault="00885A74" w:rsidP="00885A74">
      <w:pPr>
        <w:pStyle w:val="Akapitzlist"/>
        <w:numPr>
          <w:ilvl w:val="0"/>
          <w:numId w:val="10"/>
        </w:numPr>
        <w:spacing w:after="200"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85A74">
        <w:rPr>
          <w:rFonts w:asciiTheme="majorHAnsi" w:hAnsiTheme="majorHAnsi" w:cstheme="majorHAnsi"/>
          <w:sz w:val="24"/>
          <w:szCs w:val="24"/>
          <w:lang w:val="pl-PL"/>
        </w:rPr>
        <w:t>uzasadnia</w:t>
      </w:r>
      <w:proofErr w:type="gramEnd"/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znaczenie relacji między uczniem a nauczycielem w procesie uczenia się;</w:t>
      </w:r>
    </w:p>
    <w:p w:rsidR="00885A74" w:rsidRDefault="00885A74" w:rsidP="00885A74">
      <w:pPr>
        <w:pStyle w:val="Akapitzlist"/>
        <w:numPr>
          <w:ilvl w:val="0"/>
          <w:numId w:val="10"/>
        </w:numPr>
        <w:spacing w:after="200"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85A74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czynniki związane z organizacją pracy szkoły, które sprzyjają procesom uczenia się;</w:t>
      </w:r>
    </w:p>
    <w:p w:rsidR="00885A74" w:rsidRDefault="00885A74" w:rsidP="00885A74">
      <w:pPr>
        <w:pStyle w:val="Akapitzlist"/>
        <w:numPr>
          <w:ilvl w:val="0"/>
          <w:numId w:val="10"/>
        </w:numPr>
        <w:spacing w:after="200"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85A74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związek procesu uczenia się z kształtowaniem kompetencji kluczowych uczniów;</w:t>
      </w:r>
    </w:p>
    <w:p w:rsidR="00885A74" w:rsidRDefault="00885A74" w:rsidP="00885A74">
      <w:pPr>
        <w:pStyle w:val="Akapitzlist"/>
        <w:numPr>
          <w:ilvl w:val="0"/>
          <w:numId w:val="10"/>
        </w:numPr>
        <w:spacing w:after="200"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85A74">
        <w:rPr>
          <w:rFonts w:asciiTheme="majorHAnsi" w:hAnsiTheme="majorHAnsi" w:cstheme="majorHAnsi"/>
          <w:sz w:val="24"/>
          <w:szCs w:val="24"/>
          <w:lang w:val="pl-PL"/>
        </w:rPr>
        <w:t>łączy</w:t>
      </w:r>
      <w:proofErr w:type="gramEnd"/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wiedzę na temat uczenia się z wiedzą dotyczącą procesowego wspomagania szkół. </w:t>
      </w:r>
    </w:p>
    <w:p w:rsidR="002C3A72" w:rsidRDefault="00154C8B" w:rsidP="002C3A72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b/>
          <w:sz w:val="24"/>
          <w:szCs w:val="24"/>
          <w:lang w:val="pl-PL"/>
        </w:rPr>
        <w:t>Szczegółowe treści:</w:t>
      </w:r>
    </w:p>
    <w:p w:rsidR="00154C8B" w:rsidRPr="002C3A72" w:rsidRDefault="00154C8B" w:rsidP="002C3A72">
      <w:pPr>
        <w:pStyle w:val="Akapitzlist"/>
        <w:numPr>
          <w:ilvl w:val="0"/>
          <w:numId w:val="22"/>
        </w:num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r w:rsidRPr="002C3A72">
        <w:rPr>
          <w:rFonts w:asciiTheme="majorHAnsi" w:hAnsiTheme="majorHAnsi" w:cstheme="majorHAnsi"/>
          <w:sz w:val="24"/>
          <w:szCs w:val="24"/>
          <w:lang w:val="pl-PL"/>
        </w:rPr>
        <w:t>Przebieg procesu uczenia się:</w:t>
      </w:r>
    </w:p>
    <w:p w:rsidR="00154C8B" w:rsidRDefault="00154C8B" w:rsidP="001826F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etapy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procesu uczenia się: od nieświadomej niekompetencji do nieświadomej kompetencji;</w:t>
      </w:r>
    </w:p>
    <w:p w:rsidR="00154C8B" w:rsidRPr="00154C8B" w:rsidRDefault="00154C8B" w:rsidP="001826F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rozwój prostych i złożonych umiejętności (np. na podstawie taksonomii celów wg B. </w:t>
      </w:r>
      <w:proofErr w:type="spellStart"/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Blooma</w:t>
      </w:r>
      <w:proofErr w:type="spellEnd"/>
      <w:r w:rsidRPr="00154C8B">
        <w:rPr>
          <w:rFonts w:asciiTheme="majorHAnsi" w:hAnsiTheme="majorHAnsi" w:cstheme="majorHAnsi"/>
          <w:sz w:val="24"/>
          <w:szCs w:val="24"/>
          <w:lang w:val="pl-PL"/>
        </w:rPr>
        <w:t>) jako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warunek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54C8B">
        <w:rPr>
          <w:rFonts w:asciiTheme="majorHAnsi" w:hAnsiTheme="majorHAnsi" w:cstheme="majorHAnsi"/>
          <w:sz w:val="24"/>
          <w:szCs w:val="24"/>
          <w:lang w:val="pl-PL"/>
        </w:rPr>
        <w:t>skutecznego nauczania.</w:t>
      </w:r>
    </w:p>
    <w:p w:rsidR="00154C8B" w:rsidRDefault="00154C8B" w:rsidP="001826F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>Czynniki wpływające na proces uczenia się:</w:t>
      </w:r>
    </w:p>
    <w:p w:rsidR="00154C8B" w:rsidRDefault="00154C8B" w:rsidP="001826F9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podmiotowość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ucznia w procesie uczenia się;</w:t>
      </w:r>
    </w:p>
    <w:p w:rsidR="00154C8B" w:rsidRDefault="00154C8B" w:rsidP="001826F9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znajomość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metod i technik służących poznaniu własnych strategii uczenia się;</w:t>
      </w:r>
    </w:p>
    <w:p w:rsidR="00154C8B" w:rsidRDefault="00154C8B" w:rsidP="001826F9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integrowanie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wiedzy (nowej z dotychczas zdobytą, wiedzy z różnych dziedzin) i hierarchiczne jej porządkowanie;</w:t>
      </w:r>
    </w:p>
    <w:p w:rsidR="00154C8B" w:rsidRDefault="00154C8B" w:rsidP="001826F9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praktyczne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wykorzystywanie zdobywanej wiedzy i umiejętności w szkole oraz codziennym życiu;</w:t>
      </w:r>
    </w:p>
    <w:p w:rsidR="00154C8B" w:rsidRDefault="00154C8B" w:rsidP="00154C8B">
      <w:pPr>
        <w:pStyle w:val="Akapitzlist"/>
        <w:numPr>
          <w:ilvl w:val="0"/>
          <w:numId w:val="19"/>
        </w:num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lastRenderedPageBreak/>
        <w:t>wpływ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motywacji i emocji na przebieg procesu uczenia się;</w:t>
      </w:r>
    </w:p>
    <w:p w:rsidR="00154C8B" w:rsidRPr="00154C8B" w:rsidRDefault="00154C8B" w:rsidP="001826F9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możliwości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i ograniczenia ludzkich zdolności do przyswajania informacji.</w:t>
      </w:r>
    </w:p>
    <w:p w:rsidR="00154C8B" w:rsidRDefault="00154C8B" w:rsidP="001826F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>Środowiska edukacyjne sprzyjające uczeniu się:</w:t>
      </w:r>
    </w:p>
    <w:p w:rsidR="00154C8B" w:rsidRDefault="00154C8B" w:rsidP="001826F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relacje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154C8B">
        <w:rPr>
          <w:rFonts w:asciiTheme="majorHAnsi" w:hAnsiTheme="majorHAnsi" w:cstheme="majorHAnsi"/>
          <w:sz w:val="24"/>
          <w:szCs w:val="24"/>
          <w:lang w:val="pl-PL"/>
        </w:rPr>
        <w:t>nauczyciel–uczeń</w:t>
      </w:r>
      <w:proofErr w:type="spellEnd"/>
      <w:r w:rsidRPr="00154C8B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154C8B" w:rsidRDefault="00154C8B" w:rsidP="001826F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praca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zespołowa;</w:t>
      </w:r>
    </w:p>
    <w:p w:rsidR="00154C8B" w:rsidRDefault="00154C8B" w:rsidP="001826F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pracy nauczyciela;</w:t>
      </w:r>
    </w:p>
    <w:p w:rsidR="00154C8B" w:rsidRDefault="00154C8B" w:rsidP="001826F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indywidualizacja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nauczania;</w:t>
      </w:r>
    </w:p>
    <w:p w:rsidR="00154C8B" w:rsidRPr="00154C8B" w:rsidRDefault="00154C8B" w:rsidP="001826F9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przestrzeni szkolnej.</w:t>
      </w:r>
    </w:p>
    <w:p w:rsidR="00154C8B" w:rsidRDefault="00154C8B" w:rsidP="001826F9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>Proces uczenia się drogą do kształtowania i rozwijania kompetencji kluczowych uczniów:</w:t>
      </w:r>
    </w:p>
    <w:p w:rsidR="00154C8B" w:rsidRDefault="00154C8B" w:rsidP="001826F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wiedza o przebiegu procesu uczenia </w:t>
      </w: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się jako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podstawa do budowania skutecznej diagnozy pracy szkoły;</w:t>
      </w:r>
    </w:p>
    <w:p w:rsidR="00154C8B" w:rsidRDefault="00154C8B" w:rsidP="001826F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monitorowanie procesu uczenia </w:t>
      </w:r>
      <w:proofErr w:type="gramStart"/>
      <w:r w:rsidRPr="00154C8B">
        <w:rPr>
          <w:rFonts w:asciiTheme="majorHAnsi" w:hAnsiTheme="majorHAnsi" w:cstheme="majorHAnsi"/>
          <w:sz w:val="24"/>
          <w:szCs w:val="24"/>
          <w:lang w:val="pl-PL"/>
        </w:rPr>
        <w:t>się jako</w:t>
      </w:r>
      <w:proofErr w:type="gramEnd"/>
      <w:r w:rsidRPr="00154C8B">
        <w:rPr>
          <w:rFonts w:asciiTheme="majorHAnsi" w:hAnsiTheme="majorHAnsi" w:cstheme="majorHAnsi"/>
          <w:sz w:val="24"/>
          <w:szCs w:val="24"/>
          <w:lang w:val="pl-PL"/>
        </w:rPr>
        <w:t xml:space="preserve"> istotny element wdrażania zmian służących kształtowaniu kompetencji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54C8B">
        <w:rPr>
          <w:rFonts w:asciiTheme="majorHAnsi" w:hAnsiTheme="majorHAnsi" w:cstheme="majorHAnsi"/>
          <w:sz w:val="24"/>
          <w:szCs w:val="24"/>
          <w:lang w:val="pl-PL"/>
        </w:rPr>
        <w:t>kluczowych uczniów.</w:t>
      </w:r>
    </w:p>
    <w:p w:rsidR="00154C8B" w:rsidRPr="00154C8B" w:rsidRDefault="00154C8B" w:rsidP="00154C8B">
      <w:pPr>
        <w:pStyle w:val="Akapitzlist"/>
        <w:spacing w:line="276" w:lineRule="auto"/>
        <w:ind w:left="144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885A74" w:rsidRPr="001826F9" w:rsidRDefault="00885A74" w:rsidP="00885A74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885A74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826F9">
        <w:rPr>
          <w:rFonts w:asciiTheme="majorHAnsi" w:hAnsiTheme="majorHAnsi" w:cstheme="majorHAnsi"/>
          <w:sz w:val="24"/>
          <w:szCs w:val="24"/>
          <w:lang w:val="pl-PL"/>
        </w:rPr>
        <w:t xml:space="preserve">6 godz. </w:t>
      </w:r>
      <w:proofErr w:type="gramStart"/>
      <w:r w:rsidRPr="001826F9">
        <w:rPr>
          <w:rFonts w:asciiTheme="majorHAnsi" w:hAnsiTheme="majorHAnsi" w:cstheme="majorHAnsi"/>
          <w:sz w:val="24"/>
          <w:szCs w:val="24"/>
          <w:lang w:val="pl-PL"/>
        </w:rPr>
        <w:t>dydakt</w:t>
      </w:r>
      <w:r w:rsidR="001853AD" w:rsidRPr="001826F9">
        <w:rPr>
          <w:rFonts w:asciiTheme="majorHAnsi" w:hAnsiTheme="majorHAnsi" w:cstheme="majorHAnsi"/>
          <w:sz w:val="24"/>
          <w:szCs w:val="24"/>
          <w:lang w:val="pl-PL"/>
        </w:rPr>
        <w:t>ycznych (70 + 65 + 80 + 40 + 15</w:t>
      </w:r>
      <w:r w:rsidRPr="001826F9">
        <w:rPr>
          <w:rFonts w:asciiTheme="majorHAnsi" w:hAnsiTheme="majorHAnsi" w:cstheme="majorHAnsi"/>
          <w:sz w:val="24"/>
          <w:szCs w:val="24"/>
          <w:lang w:val="pl-PL"/>
        </w:rPr>
        <w:t xml:space="preserve"> =  270 min</w:t>
      </w:r>
      <w:proofErr w:type="gramEnd"/>
      <w:r w:rsidR="001853AD" w:rsidRPr="001826F9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885A74" w:rsidRPr="00885A74" w:rsidRDefault="00885A74" w:rsidP="00885A74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885A7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885A74" w:rsidRPr="00885A74" w:rsidTr="005D09D1">
        <w:tc>
          <w:tcPr>
            <w:tcW w:w="2943" w:type="dxa"/>
            <w:shd w:val="clear" w:color="auto" w:fill="B3EAF2" w:themeFill="background2" w:themeFillShade="E6"/>
            <w:vAlign w:val="center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324" w:type="dxa"/>
            <w:shd w:val="clear" w:color="auto" w:fill="B3EAF2" w:themeFill="background2" w:themeFillShade="E6"/>
            <w:vAlign w:val="center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  <w:vAlign w:val="center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  <w:vAlign w:val="center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885A74" w:rsidRPr="00885A74" w:rsidTr="00F970C9">
        <w:tc>
          <w:tcPr>
            <w:tcW w:w="14567" w:type="dxa"/>
            <w:gridSpan w:val="4"/>
          </w:tcPr>
          <w:p w:rsidR="00885A74" w:rsidRPr="005233F7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5233F7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885A74" w:rsidRPr="00885A74" w:rsidTr="00F970C9">
        <w:tc>
          <w:tcPr>
            <w:tcW w:w="2943" w:type="dxa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23FDF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D23FDF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Burza mózgów</w:t>
            </w:r>
          </w:p>
          <w:p w:rsidR="00885A74" w:rsidRPr="00D23FDF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Autorefleksja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uczestniczący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85A74" w:rsidRPr="00D23FDF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23FD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Przebieg procesu uczenia się </w:t>
            </w: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 dla mnie znaczy sformułowani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e: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1B05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uczenie się</w:t>
            </w:r>
            <w:r w:rsidR="001B05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zapisuje skojarzenia. Po wyczerpaniu pomysłów prosi uczestników o wspólne zdefiniowanie określenia „uczenie się”. </w:t>
            </w: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W podsumowaniu prowadzący zadaje pytanie o refleksje uczestników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zwraca uwagę na różnorodność skojarzeń i fakt, że uczenie się to długotrwały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(przez całe życie) i skomplikowany proces.</w:t>
            </w: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 – prezentacja </w:t>
            </w: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395132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9513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Znajomość metod i technik służących poznaniu własnych strategii uczenia się</w:t>
            </w:r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395132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9513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Ćwiczenie Jak uczę się? 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otrzymują test </w:t>
            </w:r>
            <w:r w:rsidRPr="00885A74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Sprawdź swój styl uczenia się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Pr="001826F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Zał</w:t>
            </w:r>
            <w:r w:rsidR="00DD7DD0" w:rsidRPr="001826F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ącznik</w:t>
            </w:r>
            <w:proofErr w:type="gramStart"/>
            <w:r w:rsidR="00DD7DD0" w:rsidRPr="001826F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1826F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1)</w:t>
            </w:r>
            <w:r w:rsidRPr="001826F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</w:r>
            <w:r w:rsidRPr="00885A74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i</w:t>
            </w:r>
            <w:proofErr w:type="gramEnd"/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indywidualnie odpowiadają na pytania. Po wypełnieniu testu uczestnicy dzielą się swoimi refleksjami. Prowadzący zapisuje najważniejsze wnioski i informuje grupę, że ćwiczenie wykorzystamy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dalszej części szkolenia.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prowadzący podkreśla wpływ własnego sposobu uczenia się na uczenie innych i informuje, że na platformie </w:t>
            </w: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znajdują się inne materiały do diagnozy własnego stylu uczenia się. </w:t>
            </w:r>
          </w:p>
          <w:p w:rsidR="00885A74" w:rsidRPr="00395132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9513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Przebieg procesu uczenia się: </w:t>
            </w:r>
          </w:p>
          <w:p w:rsidR="00885A74" w:rsidRDefault="00885A74" w:rsidP="00885A74">
            <w:pPr>
              <w:pStyle w:val="Bezodstpw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etapy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procesu uczenia się: od nieświadomej niekompetencji do nieświadomej kompetencji; </w:t>
            </w:r>
          </w:p>
          <w:p w:rsidR="00885A74" w:rsidRPr="00885A74" w:rsidRDefault="00885A74" w:rsidP="00885A74">
            <w:pPr>
              <w:pStyle w:val="Bezodstpw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rozwój prostych i złożonych umiejętności (np. na podstawie taksonomii celów wg </w:t>
            </w: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B. </w:t>
            </w: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Blooma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 jako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warunek skutecznego nauczania 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mazaki</w:t>
            </w:r>
          </w:p>
          <w:p w:rsidR="001826F9" w:rsidRDefault="001826F9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826F9" w:rsidRPr="00885A74" w:rsidRDefault="001826F9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826F9" w:rsidRPr="001826F9" w:rsidRDefault="001826F9" w:rsidP="001826F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III</w:t>
            </w: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826F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Proces uczenia się a rozwój kompetencji kluczowych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DD7DD0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885A74"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Sprawdź swój styl uczenia się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1826F9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III</w:t>
            </w: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826F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Proces uczenia się a rozwój kompetencji kluczowych</w:t>
            </w:r>
          </w:p>
        </w:tc>
        <w:tc>
          <w:tcPr>
            <w:tcW w:w="1347" w:type="dxa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70</w:t>
            </w:r>
          </w:p>
        </w:tc>
      </w:tr>
      <w:tr w:rsidR="00885A74" w:rsidRPr="00885A74" w:rsidTr="00F970C9">
        <w:tc>
          <w:tcPr>
            <w:tcW w:w="2943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z tekstem: pogłębienie zrozumienia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Tworzenie powiązań </w:t>
            </w: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>z systemem wiedzy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Pokaz filmowy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85A74" w:rsidRPr="00395132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39513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Czynniki wpływające na proces uczenia się:  </w:t>
            </w:r>
          </w:p>
          <w:p w:rsidR="00885A74" w:rsidRDefault="00885A74" w:rsidP="00885A74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integrowanie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wiedzy (nowej z dotychczas zdobytą, wiedzy z różnych dziedzin) i hierarchiczne jej porządkowanie;  </w:t>
            </w:r>
          </w:p>
          <w:p w:rsidR="00885A74" w:rsidRDefault="00885A74" w:rsidP="00885A74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praktyczne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wykorzystywanie zdobywanej wiedzy i umiejętności w szkole oraz codziennym życiu; </w:t>
            </w:r>
          </w:p>
          <w:p w:rsidR="00885A74" w:rsidRPr="00885A74" w:rsidRDefault="00885A74" w:rsidP="00885A74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wpływ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motywacji i emocji na przebieg procesu uczenia się</w:t>
            </w:r>
          </w:p>
          <w:p w:rsidR="00885A74" w:rsidRPr="00395132" w:rsidRDefault="00395132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Ćwiczenie </w:t>
            </w:r>
            <w:r w:rsidR="00885A74" w:rsidRPr="00395132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Praca z tekstem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Prowadzący dzieli uczestników na 4 grupy. Każda grupa otrzymuje </w:t>
            </w:r>
            <w:r w:rsidRPr="00885A74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fragment artykułu Andrzeja Dąbrowskiego Wpływ emocji na poznawanie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(Zał</w:t>
            </w:r>
            <w:r w:rsidR="00DD7DD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ącznik </w:t>
            </w:r>
            <w:r w:rsidR="00161F0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2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)</w:t>
            </w:r>
            <w:r w:rsidR="00161F0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.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Zadaniem każdej grupy jest wykorzystanie artykułu do aktywności poznawczej opisanej w karcie pracy</w:t>
            </w:r>
            <w:r w:rsidRPr="00885A74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 xml:space="preserve"> Praca z tekstem: pogłębienie zrozumienia i tworzenie </w:t>
            </w:r>
            <w:r w:rsidR="00DD7DD0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powiąz</w:t>
            </w:r>
            <w:r w:rsidR="00161F0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 xml:space="preserve">ań z systemem wiedzy. (Załącznik </w:t>
            </w:r>
            <w:r w:rsidRPr="00885A74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3)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Grupy prezentują efekty pracy na forum. 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Podsumowanie – refleksje uczest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ników, mini wykład – cykl Kolba.</w:t>
            </w:r>
          </w:p>
          <w:p w:rsidR="00885A74" w:rsidRPr="002C3A72" w:rsidRDefault="00885A74" w:rsidP="002C3A7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cy przedstawia fragmenty filmu </w:t>
            </w: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Slumdog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Milioner z ulicy - </w:t>
            </w: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online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(2008) dotyczące wpływu emocji na uczenie się. Po obejrzeniu filmu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zachęca uczestników do dzielenia się refleksjami w zakresie wpływu emocji na kształtowanie kompetencji kluczowych.</w:t>
            </w:r>
          </w:p>
        </w:tc>
        <w:tc>
          <w:tcPr>
            <w:tcW w:w="2953" w:type="dxa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Fragment artykułu Andrzeja Dąbrowskiego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Wpływ emocji na poznawanie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- 2, 3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strony.</w:t>
            </w:r>
          </w:p>
          <w:p w:rsidR="001826F9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Praca 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tekstem: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pogłębienie zrozumienia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 xml:space="preserve">i tworzenie powiązań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z systemem wiedzy</w:t>
            </w:r>
          </w:p>
          <w:p w:rsid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1826F9" w:rsidRDefault="001826F9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III</w:t>
            </w: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826F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Proces uczenia się a rozwój kompetencji kluczowych</w:t>
            </w:r>
          </w:p>
          <w:p w:rsidR="001826F9" w:rsidRPr="00885A74" w:rsidRDefault="001826F9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Film </w:t>
            </w: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Slumdog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Milioner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ulicy(2008) -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fragment</w:t>
            </w:r>
          </w:p>
        </w:tc>
        <w:tc>
          <w:tcPr>
            <w:tcW w:w="1347" w:type="dxa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65 </w:t>
            </w:r>
          </w:p>
        </w:tc>
      </w:tr>
      <w:tr w:rsidR="00885A74" w:rsidRPr="00885A74" w:rsidTr="00F970C9">
        <w:tc>
          <w:tcPr>
            <w:tcW w:w="2943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indywidualna</w:t>
            </w:r>
          </w:p>
          <w:p w:rsidR="00885A74" w:rsidRPr="00DD7DD0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Burza mózgów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DD7DD0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indywidualna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Wymiana doświadczeń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DD7DD0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Drama</w:t>
            </w:r>
          </w:p>
          <w:p w:rsidR="00885A74" w:rsidRPr="00DD7DD0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  <w:p w:rsidR="00885A74" w:rsidRPr="00DD7DD0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9513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Podmiotowość ucznia w procesie uczenia się</w:t>
            </w: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</w:t>
            </w:r>
            <w:r w:rsidRPr="00885A7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środowisko edukacyjne sprzyjające uczeniu się: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vanish/>
                <w:sz w:val="24"/>
                <w:szCs w:val="24"/>
                <w:lang w:val="pl-PL"/>
                <w:specVanish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rozdaje uczestnikom kartę pracy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Podmiotowość w szkole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4)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Następnie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prosi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ich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 przypomnienie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sobie własnej sytuacji szkolnej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relacji z nauczycielem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kiedy miał poczucie sprawstwa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oraz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możli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wość samorealizacji. Każdy uczestnik opisuje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swo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je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doświadcze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nia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karcie pracy.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Kolejnym krokiem jest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ustal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enie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najważniejsz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ych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kompetencj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nauczyciela w podmiotowym traktowaniu ucznia.</w:t>
            </w:r>
          </w:p>
          <w:p w:rsid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Podsumowanie – mini wykład o podmiotowości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885A74" w:rsidRPr="00885A74" w:rsidRDefault="00885A74" w:rsidP="00885A74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możliwości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ograniczenia ludzkich zdolności do przyswajania informacji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85A74" w:rsidRPr="00DD7DD0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</w:t>
            </w:r>
            <w:proofErr w:type="gramEnd"/>
            <w:r w:rsidRP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mi w tym pomaga, a co przeszkadza w uczeniu się?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prosi uczestników o odwołanie się do testu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Sprawdź swój styl uczenia się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o uzupełnienie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karty pracy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Refleksje o własnym uczeniu się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5). Następnie uczestnicy spotykają się w trójkach 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rozmawiają o możliwościach i ograniczeniach ludzkich zdolności do przyswajania informacji. Po dyskusji spisują najważniejsze wnioski 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rozmowy, które prezentowane są na forum grupy.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Relacje nauczyciel – </w:t>
            </w:r>
            <w:proofErr w:type="gramStart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uczeń</w:t>
            </w:r>
            <w:r w:rsidR="00DD7DD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: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środowiska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edukacyjne sprzyjające uczeniu się: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Chętni uczestnicy wchodzą w rol</w:t>
            </w:r>
            <w:r w:rsidR="00DC650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ę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nauczyciela</w:t>
            </w:r>
            <w:r w:rsidR="00DC650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,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a pozostali są uczniami. Zadaniem nauczyciela jest przekazanie uczniom instrukcji wykonania rysunku. Nauczyciel</w:t>
            </w:r>
            <w:r w:rsidR="00DC650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e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otrzymują opis swojej roli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6)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i ją odgrywają. </w:t>
            </w:r>
          </w:p>
          <w:p w:rsidR="00885A74" w:rsidRPr="00885A74" w:rsidRDefault="00885A74" w:rsidP="00DC6503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W podsumowaniu uczestnicy mówią o swoim samopoczuciu związanym z odgrywaną rolą, a następnie formułują wnioski dotyczące relacji nauczyciel – uczeń i jej wpływu na proces uczenia się </w:t>
            </w:r>
            <w:r w:rsidR="00DC650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oraz</w:t>
            </w:r>
            <w:r w:rsidRPr="00885A7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kształtowanie kompetencji kluczowych.</w:t>
            </w:r>
          </w:p>
        </w:tc>
        <w:tc>
          <w:tcPr>
            <w:tcW w:w="2953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  <w:r w:rsid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Podmiotowość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szkole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Refleksje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o własnym uczeniu się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</w:t>
            </w:r>
            <w:r w:rsid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DC650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Role nauczycieli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80 </w:t>
            </w:r>
          </w:p>
        </w:tc>
      </w:tr>
      <w:tr w:rsidR="00885A74" w:rsidRPr="00885A74" w:rsidTr="00F970C9">
        <w:tc>
          <w:tcPr>
            <w:tcW w:w="2943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C6503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Projekcja filmu</w:t>
            </w: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C6503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Krótki wykład interaktywny</w:t>
            </w: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C6503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Stacje zadaniowe</w:t>
            </w: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DC6503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85A74" w:rsidRPr="00DD7DD0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Praca zespołowa</w:t>
            </w:r>
            <w:r w:rsidR="00DC6503" w:rsidRPr="00DD7DD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</w:t>
            </w:r>
            <w:r w:rsidRPr="00DD7DD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- </w:t>
            </w:r>
            <w:r w:rsidRPr="00DD7DD0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środowisko edukacyjne sprzyjające uczeniu się</w:t>
            </w:r>
            <w:r w:rsidRPr="00DD7DD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:</w:t>
            </w:r>
          </w:p>
          <w:p w:rsidR="00885A74" w:rsidRPr="00885A74" w:rsidRDefault="00DC6503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współpraca się opłaca</w:t>
            </w:r>
            <w:r w:rsidR="00885A74" w:rsidRP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  <w:r w:rsidR="00885A74" w:rsidRP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Prowadzący przedstawia film o współpracy. Po 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jego </w:t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obejrzeniu uczestnicy dzielą się refleksjami dotyczącymi roli współpracy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sytuacjach trudnych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 wydaje im się na podstawie filmu najważniejsze. Czy umiejętnoś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</w:t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współpracy ma wpływ na kształtowanie kompetencji kluczowych? 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Jeśli tak, </w:t>
            </w:r>
            <w:proofErr w:type="gramStart"/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to j</w:t>
            </w:r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akich</w:t>
            </w:r>
            <w:proofErr w:type="gramEnd"/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  <w:p w:rsidR="00DC6503" w:rsidRPr="00DD7DD0" w:rsidRDefault="00885A74" w:rsidP="00DC6503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Organizacja pracy a środowisko edukacyjne sprzyjające uczeniu się</w:t>
            </w:r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DC6503" w:rsidRPr="00DD7DD0" w:rsidRDefault="00885A74" w:rsidP="00DC6503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metody</w:t>
            </w:r>
            <w:proofErr w:type="gramEnd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nauczyciela; </w:t>
            </w:r>
          </w:p>
          <w:p w:rsidR="00DC6503" w:rsidRPr="00DD7DD0" w:rsidRDefault="00885A74" w:rsidP="00DC6503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indywidualizacja</w:t>
            </w:r>
            <w:proofErr w:type="gramEnd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nauczania;  </w:t>
            </w:r>
          </w:p>
          <w:p w:rsidR="00885A74" w:rsidRPr="00DD7DD0" w:rsidRDefault="00885A74" w:rsidP="00DC6503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organizacja</w:t>
            </w:r>
            <w:proofErr w:type="gramEnd"/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przestrzeni szkolnej</w:t>
            </w:r>
            <w:r w:rsidR="00DC6503"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DC6503" w:rsidRPr="00DD7DD0" w:rsidRDefault="00885A74" w:rsidP="00DC6503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Proces uczenia się drogą do kształtowania i rozwijania kompetencji kluczowych uczniów:</w:t>
            </w:r>
          </w:p>
          <w:p w:rsidR="00DC6503" w:rsidRDefault="00885A74" w:rsidP="00DC6503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wiedza o przebiegu procesu uczenia </w:t>
            </w:r>
            <w:proofErr w:type="gramStart"/>
            <w:r w:rsidRP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się jako</w:t>
            </w:r>
            <w:proofErr w:type="gramEnd"/>
            <w:r w:rsidRP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podstawa do budowania skutecznej diagnozy pracy szkoły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885A74" w:rsidRPr="00DC6503" w:rsidRDefault="00885A74" w:rsidP="00DC6503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monitorowanie procesu uczenia </w:t>
            </w:r>
            <w:proofErr w:type="gramStart"/>
            <w:r w:rsidRP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się jako</w:t>
            </w:r>
            <w:proofErr w:type="gramEnd"/>
            <w:r w:rsidRP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istotny element wdrażania zmian służących kształtowaniu kompetencji kluczowych uczniów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przygotowuje 2 stacje zadaniowe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885A74" w:rsidRPr="00885A74" w:rsidRDefault="00DC6503" w:rsidP="00DC6503">
            <w:pPr>
              <w:pStyle w:val="Akapitzlist"/>
              <w:numPr>
                <w:ilvl w:val="0"/>
                <w:numId w:val="9"/>
              </w:numPr>
              <w:spacing w:after="200" w:line="276" w:lineRule="auto"/>
              <w:ind w:left="318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teza</w:t>
            </w:r>
            <w:proofErr w:type="gramEnd"/>
            <w:r w:rsidR="00885A74"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 Wiedza o przebiegu procesu uczenia się jest podstawą do budowania skutecznej diagnozy pracy szkoły</w:t>
            </w:r>
            <w:r w:rsidR="0039513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85A74" w:rsidRPr="00885A74" w:rsidRDefault="00885A74" w:rsidP="00DC6503">
            <w:pPr>
              <w:pStyle w:val="Akapitzlist"/>
              <w:numPr>
                <w:ilvl w:val="0"/>
                <w:numId w:val="9"/>
              </w:numPr>
              <w:spacing w:after="200" w:line="276" w:lineRule="auto"/>
              <w:ind w:left="318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teza</w:t>
            </w:r>
            <w:proofErr w:type="gram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 Monitorowanie procesu uczenia się jest istotnym elementem wdrażania zmian służących kształtowaniu kompetencji kluczowych uczniów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885A74" w:rsidRPr="00885A74" w:rsidRDefault="00885A74" w:rsidP="00DC6503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Zadaniem uczestników jest zapisanie na kolorowych kartkach przylepnych jak największej </w:t>
            </w:r>
            <w:r w:rsidR="00DC650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liczby</w:t>
            </w:r>
            <w:r w:rsidR="00DD7DD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potwierdzeń ww. tez i przyklejenie ich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 odpowiednie miejsce. Uczestnik – ochotnik czyta wyniki pracy.</w:t>
            </w:r>
          </w:p>
        </w:tc>
        <w:tc>
          <w:tcPr>
            <w:tcW w:w="2953" w:type="dxa"/>
          </w:tcPr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Film animowany </w:t>
            </w:r>
            <w:hyperlink r:id="rId8" w:history="1">
              <w:r w:rsidRPr="00885A74">
                <w:rPr>
                  <w:rStyle w:val="Hipercze"/>
                  <w:rFonts w:asciiTheme="majorHAnsi" w:hAnsiTheme="majorHAnsi" w:cstheme="majorHAnsi"/>
                  <w:sz w:val="24"/>
                  <w:szCs w:val="24"/>
                  <w:lang w:val="pl-PL"/>
                </w:rPr>
                <w:t>https://www.youtube.com/</w:t>
              </w:r>
              <w:r w:rsidRPr="00885A74">
                <w:rPr>
                  <w:rStyle w:val="Hipercze"/>
                  <w:rFonts w:asciiTheme="majorHAnsi" w:hAnsiTheme="majorHAnsi" w:cstheme="majorHAnsi"/>
                  <w:sz w:val="24"/>
                  <w:szCs w:val="24"/>
                  <w:lang w:val="pl-PL"/>
                </w:rPr>
                <w:lastRenderedPageBreak/>
                <w:t>watch?v=Patm_eu02ow</w:t>
              </w:r>
            </w:hyperlink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1826F9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III</w:t>
            </w:r>
            <w:r w:rsidRPr="001826F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826F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Proces uczenia się a rozwój kompetencji kluczowych</w:t>
            </w: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 </w:t>
            </w:r>
            <w:proofErr w:type="spellStart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</w:t>
            </w:r>
            <w:proofErr w:type="spellEnd"/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karty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z tezami</w:t>
            </w: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Kolorowe kartki</w:t>
            </w: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DC650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40 </w:t>
            </w: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85A74" w:rsidRPr="00885A74" w:rsidRDefault="00885A74" w:rsidP="00885A7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885A74" w:rsidRPr="00885A74" w:rsidTr="00F970C9">
        <w:tc>
          <w:tcPr>
            <w:tcW w:w="2943" w:type="dxa"/>
          </w:tcPr>
          <w:p w:rsidR="00885A74" w:rsidRPr="00DC6503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C6503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Runda podsumowująca</w:t>
            </w:r>
          </w:p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Podsumowanie moduł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</w:t>
            </w:r>
            <w:bookmarkStart w:id="0" w:name="_GoBack"/>
            <w:bookmarkEnd w:id="0"/>
          </w:p>
          <w:p w:rsidR="00885A74" w:rsidRPr="00885A74" w:rsidRDefault="00885A74" w:rsidP="00885A74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Jak zdobyta wiedza i umiejętności z modułu III </w:t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 w:rsidR="00DD7DD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885A7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a rozwój kompetencji kluczowych </w:t>
            </w: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pomoże w realizacji zadania dotyczącego wspomagania szkoły?</w:t>
            </w:r>
          </w:p>
        </w:tc>
        <w:tc>
          <w:tcPr>
            <w:tcW w:w="2953" w:type="dxa"/>
          </w:tcPr>
          <w:p w:rsidR="00885A74" w:rsidRPr="00885A74" w:rsidRDefault="00885A74" w:rsidP="00885A7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885A74" w:rsidRPr="00885A74" w:rsidRDefault="00885A74" w:rsidP="00E855D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85A7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</w:tbl>
    <w:p w:rsidR="0021490D" w:rsidRDefault="0021490D" w:rsidP="00885A74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2723C8" w:rsidRPr="002723C8" w:rsidRDefault="002723C8" w:rsidP="002723C8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723C8">
        <w:rPr>
          <w:rFonts w:asciiTheme="majorHAnsi" w:hAnsiTheme="majorHAnsi" w:cstheme="majorHAnsi"/>
          <w:b/>
          <w:sz w:val="24"/>
          <w:szCs w:val="24"/>
          <w:lang w:val="pl-PL"/>
        </w:rPr>
        <w:t>Zasoby edukacyjne:</w:t>
      </w:r>
    </w:p>
    <w:p w:rsidR="002723C8" w:rsidRPr="002723C8" w:rsidRDefault="002723C8" w:rsidP="002723C8">
      <w:pPr>
        <w:pStyle w:val="Defaul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2723C8">
        <w:rPr>
          <w:rFonts w:asciiTheme="majorHAnsi" w:hAnsiTheme="majorHAnsi" w:cstheme="majorHAnsi"/>
          <w:lang w:val="pl-PL"/>
        </w:rPr>
        <w:t xml:space="preserve">Taraszkiewicz M., Plewka Cz., </w:t>
      </w:r>
      <w:r w:rsidRPr="002723C8">
        <w:rPr>
          <w:rFonts w:asciiTheme="majorHAnsi" w:hAnsiTheme="majorHAnsi" w:cstheme="majorHAnsi"/>
          <w:i/>
          <w:iCs/>
          <w:lang w:val="pl-PL"/>
        </w:rPr>
        <w:t>Uczymy się uczyć</w:t>
      </w:r>
      <w:r w:rsidRPr="002723C8">
        <w:rPr>
          <w:rFonts w:asciiTheme="majorHAnsi" w:hAnsiTheme="majorHAnsi" w:cstheme="majorHAnsi"/>
          <w:lang w:val="pl-PL"/>
        </w:rPr>
        <w:t xml:space="preserve">, Towarzystwo Wiedzy Powszechnej, Warszawa 2010. </w:t>
      </w:r>
    </w:p>
    <w:p w:rsidR="002723C8" w:rsidRPr="002723C8" w:rsidRDefault="002723C8" w:rsidP="002723C8">
      <w:pPr>
        <w:pStyle w:val="Defaul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2723C8">
        <w:rPr>
          <w:rFonts w:asciiTheme="majorHAnsi" w:hAnsiTheme="majorHAnsi" w:cstheme="majorHAnsi"/>
          <w:lang w:val="pl-PL"/>
        </w:rPr>
        <w:t xml:space="preserve">Rosenberg M., </w:t>
      </w:r>
      <w:r w:rsidRPr="002723C8">
        <w:rPr>
          <w:rFonts w:asciiTheme="majorHAnsi" w:hAnsiTheme="majorHAnsi" w:cstheme="majorHAnsi"/>
          <w:i/>
          <w:lang w:val="pl-PL"/>
        </w:rPr>
        <w:t>Porozumienie bez przemocy</w:t>
      </w:r>
      <w:r w:rsidRPr="002723C8">
        <w:rPr>
          <w:rFonts w:asciiTheme="majorHAnsi" w:hAnsiTheme="majorHAnsi" w:cstheme="majorHAnsi"/>
          <w:lang w:val="pl-PL"/>
        </w:rPr>
        <w:t xml:space="preserve">, Jacek </w:t>
      </w:r>
      <w:proofErr w:type="spellStart"/>
      <w:proofErr w:type="gramStart"/>
      <w:r w:rsidRPr="002723C8">
        <w:rPr>
          <w:rFonts w:asciiTheme="majorHAnsi" w:hAnsiTheme="majorHAnsi" w:cstheme="majorHAnsi"/>
          <w:lang w:val="pl-PL"/>
        </w:rPr>
        <w:t>Santorski</w:t>
      </w:r>
      <w:proofErr w:type="spellEnd"/>
      <w:r w:rsidRPr="002723C8">
        <w:rPr>
          <w:rFonts w:asciiTheme="majorHAnsi" w:hAnsiTheme="majorHAnsi" w:cstheme="majorHAnsi"/>
          <w:lang w:val="pl-PL"/>
        </w:rPr>
        <w:t xml:space="preserve"> &amp; Co</w:t>
      </w:r>
      <w:proofErr w:type="gramEnd"/>
      <w:r w:rsidRPr="002723C8">
        <w:rPr>
          <w:rFonts w:asciiTheme="majorHAnsi" w:hAnsiTheme="majorHAnsi" w:cstheme="majorHAnsi"/>
          <w:lang w:val="pl-PL"/>
        </w:rPr>
        <w:t xml:space="preserve"> Agencja Wydawnicza, Warszawa 2009.</w:t>
      </w:r>
    </w:p>
    <w:p w:rsidR="002723C8" w:rsidRPr="002723C8" w:rsidRDefault="002723C8" w:rsidP="002723C8">
      <w:pPr>
        <w:pStyle w:val="Defaul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2723C8">
        <w:rPr>
          <w:rFonts w:asciiTheme="majorHAnsi" w:hAnsiTheme="majorHAnsi" w:cstheme="majorHAnsi"/>
          <w:lang w:val="pl-PL"/>
        </w:rPr>
        <w:t xml:space="preserve">Zał. 3.1 </w:t>
      </w:r>
      <w:r w:rsidRPr="002723C8">
        <w:rPr>
          <w:rFonts w:asciiTheme="majorHAnsi" w:hAnsiTheme="majorHAnsi" w:cstheme="majorHAnsi"/>
          <w:bCs/>
          <w:iCs/>
          <w:lang w:val="pl-PL"/>
        </w:rPr>
        <w:t>Sprawdź swój styl uczenia się</w:t>
      </w:r>
    </w:p>
    <w:p w:rsidR="002723C8" w:rsidRPr="002723C8" w:rsidRDefault="005063AD" w:rsidP="002723C8">
      <w:pPr>
        <w:pStyle w:val="Default"/>
        <w:spacing w:line="276" w:lineRule="auto"/>
        <w:ind w:left="720" w:firstLine="0"/>
        <w:jc w:val="both"/>
        <w:rPr>
          <w:rFonts w:asciiTheme="majorHAnsi" w:hAnsiTheme="majorHAnsi" w:cstheme="majorHAnsi"/>
          <w:lang w:val="pl-PL"/>
        </w:rPr>
      </w:pPr>
      <w:hyperlink r:id="rId9" w:history="1">
        <w:r w:rsidR="002723C8" w:rsidRPr="002723C8">
          <w:rPr>
            <w:rStyle w:val="Hipercze"/>
            <w:rFonts w:asciiTheme="majorHAnsi" w:hAnsiTheme="majorHAnsi" w:cstheme="majorHAnsi"/>
            <w:lang w:val="pl-PL"/>
          </w:rPr>
          <w:t>https://doskonaleniewsieci.pl/Upload/Artykuly/zasoby_pilotazowe/5118%20Style%20uczenia%20si%C4%99.pdf</w:t>
        </w:r>
      </w:hyperlink>
      <w:r w:rsidR="002723C8" w:rsidRPr="002723C8">
        <w:rPr>
          <w:rFonts w:asciiTheme="majorHAnsi" w:hAnsiTheme="majorHAnsi" w:cstheme="majorHAnsi"/>
          <w:lang w:val="pl-PL"/>
        </w:rPr>
        <w:t xml:space="preserve"> [</w:t>
      </w:r>
      <w:proofErr w:type="spellStart"/>
      <w:r w:rsidR="002723C8" w:rsidRPr="002723C8">
        <w:rPr>
          <w:rFonts w:asciiTheme="majorHAnsi" w:hAnsiTheme="majorHAnsi" w:cstheme="majorHAnsi"/>
          <w:lang w:val="pl-PL"/>
        </w:rPr>
        <w:t>online</w:t>
      </w:r>
      <w:proofErr w:type="spellEnd"/>
      <w:r w:rsidR="002723C8" w:rsidRPr="002723C8">
        <w:rPr>
          <w:rFonts w:asciiTheme="majorHAnsi" w:hAnsiTheme="majorHAnsi" w:cstheme="majorHAnsi"/>
          <w:lang w:val="pl-PL"/>
        </w:rPr>
        <w:t>, dostęp dn. 04.07.2018]</w:t>
      </w:r>
    </w:p>
    <w:p w:rsidR="002723C8" w:rsidRPr="002723C8" w:rsidRDefault="002723C8" w:rsidP="002723C8">
      <w:pPr>
        <w:pStyle w:val="Defaul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2723C8">
        <w:rPr>
          <w:rFonts w:asciiTheme="majorHAnsi" w:hAnsiTheme="majorHAnsi" w:cstheme="majorHAnsi"/>
          <w:lang w:val="pl-PL"/>
        </w:rPr>
        <w:t>Zał. 3.2</w:t>
      </w:r>
      <w:r w:rsidR="00AC5E96">
        <w:rPr>
          <w:rFonts w:asciiTheme="majorHAnsi" w:hAnsiTheme="majorHAnsi" w:cstheme="majorHAnsi"/>
          <w:lang w:val="pl-PL"/>
        </w:rPr>
        <w:t xml:space="preserve"> </w:t>
      </w:r>
      <w:r w:rsidRPr="002723C8">
        <w:rPr>
          <w:rFonts w:asciiTheme="majorHAnsi" w:hAnsiTheme="majorHAnsi" w:cstheme="majorHAnsi"/>
          <w:lang w:val="pl-PL"/>
        </w:rPr>
        <w:t xml:space="preserve">Dąbrowski A., </w:t>
      </w:r>
      <w:r w:rsidRPr="002723C8">
        <w:rPr>
          <w:rFonts w:asciiTheme="majorHAnsi" w:hAnsiTheme="majorHAnsi" w:cstheme="majorHAnsi"/>
          <w:i/>
          <w:lang w:val="pl-PL"/>
        </w:rPr>
        <w:t xml:space="preserve">Wpływ emocji na poznawanie, </w:t>
      </w:r>
      <w:r w:rsidRPr="002723C8">
        <w:rPr>
          <w:rFonts w:asciiTheme="majorHAnsi" w:hAnsiTheme="majorHAnsi" w:cstheme="majorHAnsi"/>
          <w:lang w:val="pl-PL"/>
        </w:rPr>
        <w:t>Przegląd Filozoficzny – Nowa Seria</w:t>
      </w:r>
      <w:r>
        <w:rPr>
          <w:rFonts w:asciiTheme="majorHAnsi" w:hAnsiTheme="majorHAnsi" w:cstheme="majorHAnsi"/>
          <w:lang w:val="pl-PL"/>
        </w:rPr>
        <w:t xml:space="preserve"> </w:t>
      </w:r>
      <w:r w:rsidRPr="002723C8">
        <w:rPr>
          <w:rFonts w:asciiTheme="majorHAnsi" w:hAnsiTheme="majorHAnsi" w:cstheme="majorHAnsi"/>
          <w:lang w:val="pl-PL"/>
        </w:rPr>
        <w:t xml:space="preserve">R. 21: 2012, Nr 3 (83) </w:t>
      </w:r>
    </w:p>
    <w:p w:rsidR="002723C8" w:rsidRPr="002723C8" w:rsidRDefault="002723C8" w:rsidP="002723C8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pl-PL"/>
        </w:rPr>
      </w:pPr>
      <w:r w:rsidRPr="002723C8">
        <w:rPr>
          <w:rFonts w:asciiTheme="majorHAnsi" w:hAnsiTheme="majorHAnsi" w:cstheme="majorHAnsi"/>
          <w:sz w:val="24"/>
          <w:szCs w:val="24"/>
          <w:lang w:val="pl-PL"/>
        </w:rPr>
        <w:t xml:space="preserve">Zał. 3.3 na podstawie: </w:t>
      </w:r>
      <w:r w:rsidRPr="002723C8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l-PL"/>
        </w:rPr>
        <w:t>Jagodzińska M</w:t>
      </w:r>
      <w:r w:rsidRPr="002723C8">
        <w:rPr>
          <w:rFonts w:asciiTheme="majorHAnsi" w:eastAsia="Times New Roman" w:hAnsiTheme="majorHAnsi" w:cstheme="majorHAnsi"/>
          <w:i/>
          <w:color w:val="000000" w:themeColor="text1"/>
          <w:sz w:val="24"/>
          <w:szCs w:val="24"/>
          <w:lang w:val="pl-PL"/>
        </w:rPr>
        <w:t xml:space="preserve">., </w:t>
      </w:r>
      <w:r w:rsidRPr="002723C8">
        <w:rPr>
          <w:rFonts w:asciiTheme="majorHAnsi" w:eastAsia="Times New Roman" w:hAnsiTheme="majorHAnsi" w:cstheme="majorHAnsi"/>
          <w:i/>
          <w:color w:val="000000"/>
          <w:kern w:val="36"/>
          <w:sz w:val="24"/>
          <w:szCs w:val="24"/>
          <w:lang w:val="pl-PL"/>
        </w:rPr>
        <w:t>Psychologia pamięci. Badania, teorie, zastosowania</w:t>
      </w:r>
      <w:r w:rsidRPr="002723C8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pl-PL"/>
        </w:rPr>
        <w:t xml:space="preserve">, </w:t>
      </w:r>
      <w:r w:rsidRPr="002723C8">
        <w:rPr>
          <w:rFonts w:asciiTheme="majorHAnsi" w:eastAsia="Times New Roman" w:hAnsiTheme="majorHAnsi" w:cstheme="majorHAnsi"/>
          <w:color w:val="000000"/>
          <w:sz w:val="24"/>
          <w:szCs w:val="24"/>
          <w:lang w:val="pl-PL"/>
        </w:rPr>
        <w:t>Wydawnictwo Helion, Gliwice 2012</w:t>
      </w:r>
    </w:p>
    <w:p w:rsidR="002723C8" w:rsidRPr="00885A74" w:rsidRDefault="002723C8" w:rsidP="00885A74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723C8" w:rsidRPr="00885A74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C58" w:rsidRDefault="002B5C58" w:rsidP="004341AF">
      <w:r>
        <w:separator/>
      </w:r>
    </w:p>
  </w:endnote>
  <w:endnote w:type="continuationSeparator" w:id="0">
    <w:p w:rsidR="002B5C58" w:rsidRDefault="002B5C58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027563"/>
      <w:docPartObj>
        <w:docPartGallery w:val="Page Numbers (Bottom of Page)"/>
        <w:docPartUnique/>
      </w:docPartObj>
    </w:sdtPr>
    <w:sdtContent>
      <w:p w:rsidR="005D09D1" w:rsidRDefault="005063AD">
        <w:pPr>
          <w:pStyle w:val="Stopka"/>
          <w:jc w:val="right"/>
        </w:pPr>
        <w:fldSimple w:instr=" PAGE   \* MERGEFORMAT ">
          <w:r w:rsidR="00161F09">
            <w:rPr>
              <w:noProof/>
            </w:rPr>
            <w:t>7</w:t>
          </w:r>
        </w:fldSimple>
      </w:p>
    </w:sdtContent>
  </w:sdt>
  <w:p w:rsidR="005D09D1" w:rsidRDefault="005D09D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C58" w:rsidRDefault="002B5C58" w:rsidP="004341AF">
      <w:r>
        <w:separator/>
      </w:r>
    </w:p>
  </w:footnote>
  <w:footnote w:type="continuationSeparator" w:id="0">
    <w:p w:rsidR="002B5C58" w:rsidRDefault="002B5C58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A72" w:rsidRDefault="0056005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4900295</wp:posOffset>
          </wp:positionH>
          <wp:positionV relativeFrom="margin">
            <wp:posOffset>-993140</wp:posOffset>
          </wp:positionV>
          <wp:extent cx="659130" cy="600075"/>
          <wp:effectExtent l="19050" t="0" r="762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3A72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2566670</wp:posOffset>
          </wp:positionH>
          <wp:positionV relativeFrom="paragraph">
            <wp:posOffset>-469265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3A72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-307340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3A72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-231140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C3A72" w:rsidRDefault="002C3A72">
    <w:pPr>
      <w:pStyle w:val="Nagwek"/>
    </w:pPr>
  </w:p>
  <w:p w:rsidR="005D09D1" w:rsidRDefault="005D09D1">
    <w:pPr>
      <w:pStyle w:val="Nagwek"/>
    </w:pPr>
  </w:p>
  <w:p w:rsidR="005D09D1" w:rsidRDefault="005D09D1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70284"/>
    <w:multiLevelType w:val="hybridMultilevel"/>
    <w:tmpl w:val="647A287A"/>
    <w:lvl w:ilvl="0" w:tplc="B8868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83042"/>
    <w:multiLevelType w:val="hybridMultilevel"/>
    <w:tmpl w:val="FDDCA016"/>
    <w:lvl w:ilvl="0" w:tplc="928816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44A2D"/>
    <w:multiLevelType w:val="hybridMultilevel"/>
    <w:tmpl w:val="C8B66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9151A"/>
    <w:multiLevelType w:val="hybridMultilevel"/>
    <w:tmpl w:val="6028475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4E062E"/>
    <w:multiLevelType w:val="hybridMultilevel"/>
    <w:tmpl w:val="781081B6"/>
    <w:lvl w:ilvl="0" w:tplc="4F4C7E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DB7F75"/>
    <w:multiLevelType w:val="hybridMultilevel"/>
    <w:tmpl w:val="DE1C5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95195"/>
    <w:multiLevelType w:val="hybridMultilevel"/>
    <w:tmpl w:val="29085D5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BBE28DF"/>
    <w:multiLevelType w:val="hybridMultilevel"/>
    <w:tmpl w:val="525E5C3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112F1"/>
    <w:multiLevelType w:val="hybridMultilevel"/>
    <w:tmpl w:val="75C0B1A0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56F82D77"/>
    <w:multiLevelType w:val="hybridMultilevel"/>
    <w:tmpl w:val="EF563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A1101C"/>
    <w:multiLevelType w:val="hybridMultilevel"/>
    <w:tmpl w:val="4E8259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10B8B"/>
    <w:multiLevelType w:val="hybridMultilevel"/>
    <w:tmpl w:val="5940717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B139E0"/>
    <w:multiLevelType w:val="hybridMultilevel"/>
    <w:tmpl w:val="A216B42A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310CE"/>
    <w:multiLevelType w:val="hybridMultilevel"/>
    <w:tmpl w:val="CA406F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28F29C7"/>
    <w:multiLevelType w:val="hybridMultilevel"/>
    <w:tmpl w:val="E6A274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0D0DE9"/>
    <w:multiLevelType w:val="hybridMultilevel"/>
    <w:tmpl w:val="ACB8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63718"/>
    <w:multiLevelType w:val="hybridMultilevel"/>
    <w:tmpl w:val="6A2A44FA"/>
    <w:lvl w:ilvl="0" w:tplc="53CACABC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7A596FF2"/>
    <w:multiLevelType w:val="hybridMultilevel"/>
    <w:tmpl w:val="E13EA1BC"/>
    <w:lvl w:ilvl="0" w:tplc="928816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8"/>
  </w:num>
  <w:num w:numId="5">
    <w:abstractNumId w:val="0"/>
  </w:num>
  <w:num w:numId="6">
    <w:abstractNumId w:val="14"/>
  </w:num>
  <w:num w:numId="7">
    <w:abstractNumId w:val="21"/>
  </w:num>
  <w:num w:numId="8">
    <w:abstractNumId w:val="1"/>
  </w:num>
  <w:num w:numId="9">
    <w:abstractNumId w:val="7"/>
  </w:num>
  <w:num w:numId="10">
    <w:abstractNumId w:val="18"/>
  </w:num>
  <w:num w:numId="11">
    <w:abstractNumId w:val="5"/>
  </w:num>
  <w:num w:numId="12">
    <w:abstractNumId w:val="15"/>
  </w:num>
  <w:num w:numId="13">
    <w:abstractNumId w:val="20"/>
  </w:num>
  <w:num w:numId="14">
    <w:abstractNumId w:val="12"/>
  </w:num>
  <w:num w:numId="15">
    <w:abstractNumId w:val="16"/>
  </w:num>
  <w:num w:numId="16">
    <w:abstractNumId w:val="2"/>
  </w:num>
  <w:num w:numId="17">
    <w:abstractNumId w:val="19"/>
  </w:num>
  <w:num w:numId="18">
    <w:abstractNumId w:val="3"/>
  </w:num>
  <w:num w:numId="19">
    <w:abstractNumId w:val="9"/>
  </w:num>
  <w:num w:numId="20">
    <w:abstractNumId w:val="17"/>
  </w:num>
  <w:num w:numId="21">
    <w:abstractNumId w:val="10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1595D"/>
    <w:rsid w:val="00027B80"/>
    <w:rsid w:val="00065849"/>
    <w:rsid w:val="000761FA"/>
    <w:rsid w:val="000B4D8F"/>
    <w:rsid w:val="000B7557"/>
    <w:rsid w:val="000C5F35"/>
    <w:rsid w:val="000D6390"/>
    <w:rsid w:val="000E5172"/>
    <w:rsid w:val="000E607D"/>
    <w:rsid w:val="000F22D9"/>
    <w:rsid w:val="001112B9"/>
    <w:rsid w:val="001178BA"/>
    <w:rsid w:val="0013582C"/>
    <w:rsid w:val="001546AE"/>
    <w:rsid w:val="00154C8B"/>
    <w:rsid w:val="00161F09"/>
    <w:rsid w:val="001826F9"/>
    <w:rsid w:val="001853AD"/>
    <w:rsid w:val="001A0DEA"/>
    <w:rsid w:val="001B0099"/>
    <w:rsid w:val="001B0550"/>
    <w:rsid w:val="001B112E"/>
    <w:rsid w:val="001B2BC8"/>
    <w:rsid w:val="001B53DE"/>
    <w:rsid w:val="001D27ED"/>
    <w:rsid w:val="001D39AE"/>
    <w:rsid w:val="00211CED"/>
    <w:rsid w:val="0021490D"/>
    <w:rsid w:val="00222CA2"/>
    <w:rsid w:val="00234919"/>
    <w:rsid w:val="00242FE4"/>
    <w:rsid w:val="00260EFA"/>
    <w:rsid w:val="00266431"/>
    <w:rsid w:val="002723C8"/>
    <w:rsid w:val="00287DBB"/>
    <w:rsid w:val="002B5C58"/>
    <w:rsid w:val="002B698F"/>
    <w:rsid w:val="002C3A72"/>
    <w:rsid w:val="002D18B3"/>
    <w:rsid w:val="002E6031"/>
    <w:rsid w:val="00306EFD"/>
    <w:rsid w:val="00312172"/>
    <w:rsid w:val="00331BCC"/>
    <w:rsid w:val="00337396"/>
    <w:rsid w:val="003426DB"/>
    <w:rsid w:val="003463FD"/>
    <w:rsid w:val="00351710"/>
    <w:rsid w:val="00362542"/>
    <w:rsid w:val="00385048"/>
    <w:rsid w:val="00393DEB"/>
    <w:rsid w:val="00395132"/>
    <w:rsid w:val="003A391E"/>
    <w:rsid w:val="003A442C"/>
    <w:rsid w:val="003B6E5D"/>
    <w:rsid w:val="003E1B59"/>
    <w:rsid w:val="003F146F"/>
    <w:rsid w:val="003F2827"/>
    <w:rsid w:val="00411213"/>
    <w:rsid w:val="00413006"/>
    <w:rsid w:val="00426053"/>
    <w:rsid w:val="00426E43"/>
    <w:rsid w:val="004341AF"/>
    <w:rsid w:val="004364C0"/>
    <w:rsid w:val="004533FE"/>
    <w:rsid w:val="00464344"/>
    <w:rsid w:val="00464A85"/>
    <w:rsid w:val="00476BB7"/>
    <w:rsid w:val="004817BC"/>
    <w:rsid w:val="00483D99"/>
    <w:rsid w:val="004C101F"/>
    <w:rsid w:val="004C6534"/>
    <w:rsid w:val="004F11A4"/>
    <w:rsid w:val="004F59B4"/>
    <w:rsid w:val="005063AD"/>
    <w:rsid w:val="00514D1A"/>
    <w:rsid w:val="005233F7"/>
    <w:rsid w:val="0054461A"/>
    <w:rsid w:val="00560053"/>
    <w:rsid w:val="00565B10"/>
    <w:rsid w:val="00577304"/>
    <w:rsid w:val="00577551"/>
    <w:rsid w:val="00577E4E"/>
    <w:rsid w:val="0059417C"/>
    <w:rsid w:val="005B1372"/>
    <w:rsid w:val="005B4D3F"/>
    <w:rsid w:val="005C778A"/>
    <w:rsid w:val="005D09D1"/>
    <w:rsid w:val="005E443F"/>
    <w:rsid w:val="005F3F02"/>
    <w:rsid w:val="00614224"/>
    <w:rsid w:val="0062029A"/>
    <w:rsid w:val="00621158"/>
    <w:rsid w:val="00623E55"/>
    <w:rsid w:val="00624674"/>
    <w:rsid w:val="00627260"/>
    <w:rsid w:val="006411AC"/>
    <w:rsid w:val="006851DE"/>
    <w:rsid w:val="00690470"/>
    <w:rsid w:val="006B316F"/>
    <w:rsid w:val="006B7C2C"/>
    <w:rsid w:val="006B7DB5"/>
    <w:rsid w:val="006F7A2E"/>
    <w:rsid w:val="00702257"/>
    <w:rsid w:val="007117FD"/>
    <w:rsid w:val="007235D4"/>
    <w:rsid w:val="00723970"/>
    <w:rsid w:val="0074219D"/>
    <w:rsid w:val="007456E1"/>
    <w:rsid w:val="007458EC"/>
    <w:rsid w:val="00751AEE"/>
    <w:rsid w:val="00752049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02201"/>
    <w:rsid w:val="0081354E"/>
    <w:rsid w:val="008205A7"/>
    <w:rsid w:val="00823551"/>
    <w:rsid w:val="00824644"/>
    <w:rsid w:val="008308EA"/>
    <w:rsid w:val="00837F07"/>
    <w:rsid w:val="00851CE9"/>
    <w:rsid w:val="00885A74"/>
    <w:rsid w:val="008866D2"/>
    <w:rsid w:val="008A7CC9"/>
    <w:rsid w:val="008B6253"/>
    <w:rsid w:val="008C09FC"/>
    <w:rsid w:val="009100AE"/>
    <w:rsid w:val="00917F6B"/>
    <w:rsid w:val="009763E5"/>
    <w:rsid w:val="00991D59"/>
    <w:rsid w:val="009A3C51"/>
    <w:rsid w:val="009B10AF"/>
    <w:rsid w:val="009C3929"/>
    <w:rsid w:val="009C68CA"/>
    <w:rsid w:val="009D2D61"/>
    <w:rsid w:val="00A05853"/>
    <w:rsid w:val="00A129EA"/>
    <w:rsid w:val="00A16306"/>
    <w:rsid w:val="00A25A52"/>
    <w:rsid w:val="00A34867"/>
    <w:rsid w:val="00A3723B"/>
    <w:rsid w:val="00A55307"/>
    <w:rsid w:val="00A578E7"/>
    <w:rsid w:val="00A800CB"/>
    <w:rsid w:val="00A84E1A"/>
    <w:rsid w:val="00AC4248"/>
    <w:rsid w:val="00AC45AA"/>
    <w:rsid w:val="00AC5E96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77B55"/>
    <w:rsid w:val="00CB08DE"/>
    <w:rsid w:val="00CF12A2"/>
    <w:rsid w:val="00D23FDF"/>
    <w:rsid w:val="00D24AF9"/>
    <w:rsid w:val="00D32EB0"/>
    <w:rsid w:val="00D359E7"/>
    <w:rsid w:val="00D50671"/>
    <w:rsid w:val="00D54612"/>
    <w:rsid w:val="00DA125D"/>
    <w:rsid w:val="00DA5549"/>
    <w:rsid w:val="00DA7FDB"/>
    <w:rsid w:val="00DC587F"/>
    <w:rsid w:val="00DC5AE1"/>
    <w:rsid w:val="00DC6503"/>
    <w:rsid w:val="00DD7DD0"/>
    <w:rsid w:val="00DE1629"/>
    <w:rsid w:val="00DF427B"/>
    <w:rsid w:val="00E06A68"/>
    <w:rsid w:val="00E21D4D"/>
    <w:rsid w:val="00E3784A"/>
    <w:rsid w:val="00E75811"/>
    <w:rsid w:val="00E855D1"/>
    <w:rsid w:val="00EB343F"/>
    <w:rsid w:val="00EC0627"/>
    <w:rsid w:val="00ED1D53"/>
    <w:rsid w:val="00EF2124"/>
    <w:rsid w:val="00F114E3"/>
    <w:rsid w:val="00F13743"/>
    <w:rsid w:val="00F262BE"/>
    <w:rsid w:val="00F26898"/>
    <w:rsid w:val="00F31841"/>
    <w:rsid w:val="00F35CBC"/>
    <w:rsid w:val="00FB3571"/>
    <w:rsid w:val="00FB465C"/>
    <w:rsid w:val="00FC1985"/>
    <w:rsid w:val="00FC6FB0"/>
    <w:rsid w:val="00FD2CF0"/>
    <w:rsid w:val="00FD550B"/>
    <w:rsid w:val="00FE239E"/>
    <w:rsid w:val="00FE54AD"/>
    <w:rsid w:val="00FE6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atm_eu02o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skonaleniewsieci.pl/Upload/Artykuly/zasoby_pilotazowe/5118%20Style%20uczenia%20si%C4%99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1E42A-B9AB-4465-8D53-C17A8798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1403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24</cp:revision>
  <cp:lastPrinted>2018-07-13T07:26:00Z</cp:lastPrinted>
  <dcterms:created xsi:type="dcterms:W3CDTF">2019-01-05T13:17:00Z</dcterms:created>
  <dcterms:modified xsi:type="dcterms:W3CDTF">2019-03-16T17:10:00Z</dcterms:modified>
</cp:coreProperties>
</file>