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2EA" w:rsidRPr="009842EA" w:rsidRDefault="009842EA" w:rsidP="009842EA">
      <w:pPr>
        <w:pStyle w:val="Tytu"/>
        <w:rPr>
          <w:sz w:val="40"/>
          <w:szCs w:val="40"/>
          <w:lang w:val="pl-PL"/>
        </w:rPr>
      </w:pPr>
      <w:r w:rsidRPr="009842EA">
        <w:rPr>
          <w:sz w:val="40"/>
          <w:szCs w:val="40"/>
          <w:lang w:val="pl-PL"/>
        </w:rPr>
        <w:t>Proces uczenia się a rozwój kompetencji kluczowych</w:t>
      </w:r>
    </w:p>
    <w:p w:rsidR="00DF0656" w:rsidRDefault="00DF0656" w:rsidP="00DF0656">
      <w:pPr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Moduł </w:t>
      </w:r>
      <w:r w:rsidR="00813951">
        <w:rPr>
          <w:rFonts w:asciiTheme="majorHAnsi" w:hAnsiTheme="majorHAnsi" w:cstheme="majorHAnsi"/>
          <w:b/>
          <w:sz w:val="24"/>
          <w:szCs w:val="24"/>
          <w:lang w:val="pl-PL"/>
        </w:rPr>
        <w:t>V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. </w:t>
      </w:r>
      <w:r w:rsidRPr="00CB7411">
        <w:rPr>
          <w:rFonts w:asciiTheme="majorHAnsi" w:hAnsiTheme="majorHAnsi" w:cstheme="majorHAnsi"/>
          <w:sz w:val="24"/>
          <w:szCs w:val="24"/>
          <w:lang w:val="pl-PL"/>
        </w:rPr>
        <w:t>Scenariusz szkolenia w zakresie wspomagania przedszkoli w rozwijaniu kompetencji kluczowych dzieci</w:t>
      </w:r>
    </w:p>
    <w:p w:rsidR="009842EA" w:rsidRPr="009842EA" w:rsidRDefault="009842EA" w:rsidP="009842EA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:rsidR="009842EA" w:rsidRPr="009842EA" w:rsidRDefault="009842EA" w:rsidP="008875DA">
      <w:p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9842EA">
        <w:rPr>
          <w:rFonts w:asciiTheme="majorHAnsi" w:hAnsiTheme="majorHAnsi" w:cstheme="majorHAnsi"/>
          <w:b/>
          <w:bCs/>
          <w:sz w:val="24"/>
          <w:szCs w:val="24"/>
          <w:lang w:val="pl-PL"/>
        </w:rPr>
        <w:t>Cele</w:t>
      </w:r>
    </w:p>
    <w:p w:rsidR="009842EA" w:rsidRPr="009842EA" w:rsidRDefault="009842EA" w:rsidP="008875DA">
      <w:p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9842EA">
        <w:rPr>
          <w:rFonts w:asciiTheme="majorHAnsi" w:hAnsiTheme="majorHAnsi" w:cstheme="majorHAnsi"/>
          <w:sz w:val="24"/>
          <w:szCs w:val="24"/>
          <w:lang w:val="pl-PL"/>
        </w:rPr>
        <w:t xml:space="preserve">Uczestnik szkolenia: </w:t>
      </w:r>
    </w:p>
    <w:p w:rsidR="009842EA" w:rsidRPr="009842EA" w:rsidRDefault="009842EA" w:rsidP="008875DA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9842EA">
        <w:rPr>
          <w:rFonts w:asciiTheme="majorHAnsi" w:hAnsiTheme="majorHAnsi" w:cstheme="majorHAnsi"/>
          <w:sz w:val="24"/>
          <w:szCs w:val="24"/>
          <w:lang w:val="pl-PL"/>
        </w:rPr>
        <w:t>opisuje</w:t>
      </w:r>
      <w:proofErr w:type="gramEnd"/>
      <w:r w:rsidRPr="009842EA">
        <w:rPr>
          <w:rFonts w:asciiTheme="majorHAnsi" w:hAnsiTheme="majorHAnsi" w:cstheme="majorHAnsi"/>
          <w:sz w:val="24"/>
          <w:szCs w:val="24"/>
          <w:lang w:val="pl-PL"/>
        </w:rPr>
        <w:t xml:space="preserve"> przebieg proces</w:t>
      </w:r>
      <w:r w:rsidR="00E30405">
        <w:rPr>
          <w:rFonts w:asciiTheme="majorHAnsi" w:hAnsiTheme="majorHAnsi" w:cstheme="majorHAnsi"/>
          <w:sz w:val="24"/>
          <w:szCs w:val="24"/>
          <w:lang w:val="pl-PL"/>
        </w:rPr>
        <w:t>u</w:t>
      </w:r>
      <w:r w:rsidRPr="009842EA">
        <w:rPr>
          <w:rFonts w:asciiTheme="majorHAnsi" w:hAnsiTheme="majorHAnsi" w:cstheme="majorHAnsi"/>
          <w:sz w:val="24"/>
          <w:szCs w:val="24"/>
          <w:lang w:val="pl-PL"/>
        </w:rPr>
        <w:t xml:space="preserve"> uczenia się;</w:t>
      </w:r>
    </w:p>
    <w:p w:rsidR="009842EA" w:rsidRPr="009842EA" w:rsidRDefault="009842EA" w:rsidP="008875DA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9842EA">
        <w:rPr>
          <w:rFonts w:asciiTheme="majorHAnsi" w:hAnsiTheme="majorHAnsi" w:cstheme="majorHAnsi"/>
          <w:sz w:val="24"/>
          <w:szCs w:val="24"/>
          <w:lang w:val="pl-PL"/>
        </w:rPr>
        <w:t>określa</w:t>
      </w:r>
      <w:proofErr w:type="gramEnd"/>
      <w:r w:rsidRPr="009842EA">
        <w:rPr>
          <w:rFonts w:asciiTheme="majorHAnsi" w:hAnsiTheme="majorHAnsi" w:cstheme="majorHAnsi"/>
          <w:sz w:val="24"/>
          <w:szCs w:val="24"/>
          <w:lang w:val="pl-PL"/>
        </w:rPr>
        <w:t xml:space="preserve"> czynniki wpływające na efektywność procesu uczenia się wynikające z najnowszej wiedzy i badań;</w:t>
      </w:r>
    </w:p>
    <w:p w:rsidR="009842EA" w:rsidRPr="009842EA" w:rsidRDefault="009842EA" w:rsidP="008875DA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9842EA">
        <w:rPr>
          <w:rFonts w:asciiTheme="majorHAnsi" w:hAnsiTheme="majorHAnsi" w:cstheme="majorHAnsi"/>
          <w:sz w:val="24"/>
          <w:szCs w:val="24"/>
          <w:lang w:val="pl-PL"/>
        </w:rPr>
        <w:t>uzasadnia</w:t>
      </w:r>
      <w:proofErr w:type="gramEnd"/>
      <w:r w:rsidRPr="009842EA">
        <w:rPr>
          <w:rFonts w:asciiTheme="majorHAnsi" w:hAnsiTheme="majorHAnsi" w:cstheme="majorHAnsi"/>
          <w:sz w:val="24"/>
          <w:szCs w:val="24"/>
          <w:lang w:val="pl-PL"/>
        </w:rPr>
        <w:t xml:space="preserve"> znaczenie relacji między dzieckiem a nauczycielem w procesie uczenia się;</w:t>
      </w:r>
    </w:p>
    <w:p w:rsidR="009842EA" w:rsidRPr="009842EA" w:rsidRDefault="009842EA" w:rsidP="008875DA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9842EA">
        <w:rPr>
          <w:rFonts w:asciiTheme="majorHAnsi" w:hAnsiTheme="majorHAnsi" w:cstheme="majorHAnsi"/>
          <w:sz w:val="24"/>
          <w:szCs w:val="24"/>
          <w:lang w:val="pl-PL"/>
        </w:rPr>
        <w:t>identyfikuje</w:t>
      </w:r>
      <w:proofErr w:type="gramEnd"/>
      <w:r w:rsidRPr="009842EA">
        <w:rPr>
          <w:rFonts w:asciiTheme="majorHAnsi" w:hAnsiTheme="majorHAnsi" w:cstheme="majorHAnsi"/>
          <w:sz w:val="24"/>
          <w:szCs w:val="24"/>
          <w:lang w:val="pl-PL"/>
        </w:rPr>
        <w:t xml:space="preserve"> czynniki związane z organizacją pracy przedszkola sprzyjające procesom uczenia się;</w:t>
      </w:r>
    </w:p>
    <w:p w:rsidR="009842EA" w:rsidRPr="009842EA" w:rsidRDefault="009842EA" w:rsidP="008875DA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9842EA">
        <w:rPr>
          <w:rFonts w:asciiTheme="majorHAnsi" w:hAnsiTheme="majorHAnsi" w:cstheme="majorHAnsi"/>
          <w:sz w:val="24"/>
          <w:szCs w:val="24"/>
          <w:lang w:val="pl-PL"/>
        </w:rPr>
        <w:t>wskazuje</w:t>
      </w:r>
      <w:proofErr w:type="gramEnd"/>
      <w:r w:rsidRPr="009842EA">
        <w:rPr>
          <w:rFonts w:asciiTheme="majorHAnsi" w:hAnsiTheme="majorHAnsi" w:cstheme="majorHAnsi"/>
          <w:sz w:val="24"/>
          <w:szCs w:val="24"/>
          <w:lang w:val="pl-PL"/>
        </w:rPr>
        <w:t xml:space="preserve"> związek procesu uczenia się z kształtowaniem kompetencji kluczowych dzieci;</w:t>
      </w:r>
    </w:p>
    <w:p w:rsidR="009842EA" w:rsidRDefault="009842EA" w:rsidP="008875DA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9842EA">
        <w:rPr>
          <w:rFonts w:asciiTheme="majorHAnsi" w:hAnsiTheme="majorHAnsi" w:cstheme="majorHAnsi"/>
          <w:sz w:val="24"/>
          <w:szCs w:val="24"/>
          <w:lang w:val="pl-PL"/>
        </w:rPr>
        <w:t>łączy</w:t>
      </w:r>
      <w:proofErr w:type="gramEnd"/>
      <w:r w:rsidRPr="009842EA">
        <w:rPr>
          <w:rFonts w:asciiTheme="majorHAnsi" w:hAnsiTheme="majorHAnsi" w:cstheme="majorHAnsi"/>
          <w:sz w:val="24"/>
          <w:szCs w:val="24"/>
          <w:lang w:val="pl-PL"/>
        </w:rPr>
        <w:t xml:space="preserve"> wiedzę na temat uczenia się z wiedzą dotyczącą procesowego wspomaganiu przedszkoli.</w:t>
      </w:r>
    </w:p>
    <w:p w:rsidR="00F20CA2" w:rsidRPr="00F20CA2" w:rsidRDefault="00F20CA2" w:rsidP="008875DA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F20CA2">
        <w:rPr>
          <w:rFonts w:asciiTheme="majorHAnsi" w:hAnsiTheme="majorHAnsi" w:cstheme="majorHAnsi"/>
          <w:b/>
          <w:sz w:val="24"/>
          <w:szCs w:val="24"/>
          <w:lang w:val="pl-PL"/>
        </w:rPr>
        <w:t>Szczegółowe treści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F20CA2" w:rsidRDefault="00F20CA2" w:rsidP="008875DA">
      <w:pPr>
        <w:pStyle w:val="Akapitzlist"/>
        <w:numPr>
          <w:ilvl w:val="0"/>
          <w:numId w:val="16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20CA2">
        <w:rPr>
          <w:rFonts w:asciiTheme="majorHAnsi" w:hAnsiTheme="majorHAnsi" w:cstheme="majorHAnsi"/>
          <w:sz w:val="24"/>
          <w:szCs w:val="24"/>
          <w:lang w:val="pl-PL"/>
        </w:rPr>
        <w:t>Przebieg procesu uczenia się:</w:t>
      </w:r>
    </w:p>
    <w:p w:rsidR="00F20CA2" w:rsidRDefault="00F20CA2" w:rsidP="008875DA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etapy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procesu uczenia się – od nieświadomej niekompetencji do nieświadomej kompetencji,</w:t>
      </w:r>
    </w:p>
    <w:p w:rsidR="00F20CA2" w:rsidRDefault="00F20CA2" w:rsidP="008875DA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rozwój prostych i złożonych umiejętności (np. na podstawie taksonomii celów </w:t>
      </w:r>
      <w:proofErr w:type="spellStart"/>
      <w:r w:rsidRPr="00F20CA2">
        <w:rPr>
          <w:rFonts w:asciiTheme="majorHAnsi" w:hAnsiTheme="majorHAnsi" w:cstheme="majorHAnsi"/>
          <w:sz w:val="24"/>
          <w:szCs w:val="24"/>
          <w:lang w:val="pl-PL"/>
        </w:rPr>
        <w:t>wg</w:t>
      </w:r>
      <w:proofErr w:type="spell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. B. </w:t>
      </w:r>
      <w:proofErr w:type="spellStart"/>
      <w:r w:rsidRPr="00F20CA2">
        <w:rPr>
          <w:rFonts w:asciiTheme="majorHAnsi" w:hAnsiTheme="majorHAnsi" w:cstheme="majorHAnsi"/>
          <w:sz w:val="24"/>
          <w:szCs w:val="24"/>
          <w:lang w:val="pl-PL"/>
        </w:rPr>
        <w:t>Blooma</w:t>
      </w:r>
      <w:proofErr w:type="spellEnd"/>
      <w:r w:rsidRPr="00F20CA2">
        <w:rPr>
          <w:rFonts w:asciiTheme="majorHAnsi" w:hAnsiTheme="majorHAnsi" w:cstheme="majorHAnsi"/>
          <w:sz w:val="24"/>
          <w:szCs w:val="24"/>
          <w:lang w:val="pl-PL"/>
        </w:rPr>
        <w:t>) jako warunek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skutecznego nauczania.</w:t>
      </w:r>
    </w:p>
    <w:p w:rsidR="00F20CA2" w:rsidRPr="00F20CA2" w:rsidRDefault="00F20CA2" w:rsidP="008875DA">
      <w:pPr>
        <w:pStyle w:val="Akapitzlist"/>
        <w:numPr>
          <w:ilvl w:val="0"/>
          <w:numId w:val="16"/>
        </w:numPr>
        <w:spacing w:after="16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20CA2">
        <w:rPr>
          <w:rFonts w:asciiTheme="majorHAnsi" w:hAnsiTheme="majorHAnsi" w:cstheme="majorHAnsi"/>
          <w:sz w:val="24"/>
          <w:szCs w:val="24"/>
          <w:lang w:val="pl-PL"/>
        </w:rPr>
        <w:t>Czynniki wpływające na proces uczenia się:</w:t>
      </w:r>
    </w:p>
    <w:p w:rsidR="00F20CA2" w:rsidRDefault="00F20CA2" w:rsidP="008875DA">
      <w:pPr>
        <w:pStyle w:val="Akapitzlist"/>
        <w:numPr>
          <w:ilvl w:val="0"/>
          <w:numId w:val="18"/>
        </w:numPr>
        <w:spacing w:after="160"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podmiotowość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dziecka w procesie uczenia się;</w:t>
      </w:r>
    </w:p>
    <w:p w:rsidR="00F20CA2" w:rsidRDefault="00F20CA2" w:rsidP="008875DA">
      <w:pPr>
        <w:pStyle w:val="Akapitzlist"/>
        <w:numPr>
          <w:ilvl w:val="0"/>
          <w:numId w:val="18"/>
        </w:numPr>
        <w:spacing w:after="160"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znajomość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metod i technik służących poznaniu własnych strategii uczenia się;</w:t>
      </w:r>
    </w:p>
    <w:p w:rsidR="00F20CA2" w:rsidRDefault="00F20CA2" w:rsidP="008875DA">
      <w:pPr>
        <w:pStyle w:val="Akapitzlist"/>
        <w:numPr>
          <w:ilvl w:val="0"/>
          <w:numId w:val="18"/>
        </w:numPr>
        <w:spacing w:after="160"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łączenie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wiedzy (nowej z dotychczas posiadaną, wiedzy z różnych dziedzin), hierarchiczne porządkowanie wiedzy;</w:t>
      </w:r>
    </w:p>
    <w:p w:rsidR="00F20CA2" w:rsidRDefault="00F20CA2" w:rsidP="008875DA">
      <w:pPr>
        <w:pStyle w:val="Akapitzlist"/>
        <w:numPr>
          <w:ilvl w:val="0"/>
          <w:numId w:val="18"/>
        </w:numPr>
        <w:spacing w:after="160"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praktyczne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wykorzystywanie zdobywanej wiedzy i umiejętności w przedszkolu i codziennym życiu;</w:t>
      </w:r>
    </w:p>
    <w:p w:rsidR="00F20CA2" w:rsidRDefault="00F20CA2" w:rsidP="008875DA">
      <w:pPr>
        <w:pStyle w:val="Akapitzlist"/>
        <w:numPr>
          <w:ilvl w:val="0"/>
          <w:numId w:val="18"/>
        </w:numPr>
        <w:spacing w:after="160"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wpływ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motywacji i emocji na przebieg procesu uczenia się;</w:t>
      </w:r>
    </w:p>
    <w:p w:rsidR="008875DA" w:rsidRPr="008875DA" w:rsidRDefault="00F20CA2" w:rsidP="008875DA">
      <w:pPr>
        <w:pStyle w:val="Akapitzlist"/>
        <w:numPr>
          <w:ilvl w:val="0"/>
          <w:numId w:val="18"/>
        </w:numPr>
        <w:spacing w:after="160"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20CA2">
        <w:rPr>
          <w:rFonts w:asciiTheme="majorHAnsi" w:hAnsiTheme="majorHAnsi" w:cstheme="majorHAnsi"/>
          <w:sz w:val="24"/>
          <w:szCs w:val="24"/>
          <w:lang w:val="pl-PL"/>
        </w:rPr>
        <w:t>możliwości i ograniczenia ludzkich zdolności do przyswajania informacji.</w:t>
      </w:r>
    </w:p>
    <w:p w:rsidR="00F20CA2" w:rsidRDefault="00F20CA2" w:rsidP="00F20CA2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20CA2">
        <w:rPr>
          <w:rFonts w:asciiTheme="majorHAnsi" w:hAnsiTheme="majorHAnsi" w:cstheme="majorHAnsi"/>
          <w:sz w:val="24"/>
          <w:szCs w:val="24"/>
          <w:lang w:val="pl-PL"/>
        </w:rPr>
        <w:lastRenderedPageBreak/>
        <w:t>Środowiska edukacyjne sprzyjające uczeniu się:</w:t>
      </w:r>
    </w:p>
    <w:p w:rsidR="00F20CA2" w:rsidRDefault="00F20CA2" w:rsidP="00F20CA2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relacje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nauczyciel – dziecko;</w:t>
      </w:r>
    </w:p>
    <w:p w:rsidR="00F20CA2" w:rsidRDefault="00F20CA2" w:rsidP="00F20CA2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praca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zespołowa;</w:t>
      </w:r>
    </w:p>
    <w:p w:rsidR="00F20CA2" w:rsidRDefault="00F20CA2" w:rsidP="00F20CA2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metody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pracy nauczyciela;</w:t>
      </w:r>
    </w:p>
    <w:p w:rsidR="00F20CA2" w:rsidRDefault="00F20CA2" w:rsidP="00F20CA2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indywidualizacja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nauczania;</w:t>
      </w:r>
    </w:p>
    <w:p w:rsidR="00F20CA2" w:rsidRPr="00F20CA2" w:rsidRDefault="00F20CA2" w:rsidP="00F20CA2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przestrzeni przedszkolnej.</w:t>
      </w:r>
    </w:p>
    <w:p w:rsidR="00F20CA2" w:rsidRPr="00F20CA2" w:rsidRDefault="00F20CA2" w:rsidP="00F20CA2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20CA2">
        <w:rPr>
          <w:rFonts w:asciiTheme="majorHAnsi" w:hAnsiTheme="majorHAnsi" w:cstheme="majorHAnsi"/>
          <w:sz w:val="24"/>
          <w:szCs w:val="24"/>
          <w:lang w:val="pl-PL"/>
        </w:rPr>
        <w:t>Proces uczenia się drogą do kształtowania i rozwijania kompetencji kluczowych dzieci:</w:t>
      </w:r>
    </w:p>
    <w:p w:rsidR="00F20CA2" w:rsidRDefault="00F20CA2" w:rsidP="00F20CA2">
      <w:pPr>
        <w:pStyle w:val="Akapitzlist"/>
        <w:numPr>
          <w:ilvl w:val="0"/>
          <w:numId w:val="20"/>
        </w:numPr>
        <w:spacing w:after="160" w:line="259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wiedza o przebiegu procesu uczeniu </w:t>
      </w: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się jako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podstawa do budowania skutecznej diagnozy pracy przedszkola;</w:t>
      </w:r>
    </w:p>
    <w:p w:rsidR="00F20CA2" w:rsidRPr="00F20CA2" w:rsidRDefault="00F20CA2" w:rsidP="00F20CA2">
      <w:pPr>
        <w:pStyle w:val="Akapitzlist"/>
        <w:numPr>
          <w:ilvl w:val="0"/>
          <w:numId w:val="20"/>
        </w:numPr>
        <w:spacing w:after="160" w:line="259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monitorowanie procesu uczenia </w:t>
      </w:r>
      <w:proofErr w:type="gramStart"/>
      <w:r w:rsidRPr="00F20CA2">
        <w:rPr>
          <w:rFonts w:asciiTheme="majorHAnsi" w:hAnsiTheme="majorHAnsi" w:cstheme="majorHAnsi"/>
          <w:sz w:val="24"/>
          <w:szCs w:val="24"/>
          <w:lang w:val="pl-PL"/>
        </w:rPr>
        <w:t>się jako</w:t>
      </w:r>
      <w:proofErr w:type="gramEnd"/>
      <w:r w:rsidRPr="00F20CA2">
        <w:rPr>
          <w:rFonts w:asciiTheme="majorHAnsi" w:hAnsiTheme="majorHAnsi" w:cstheme="majorHAnsi"/>
          <w:sz w:val="24"/>
          <w:szCs w:val="24"/>
          <w:lang w:val="pl-PL"/>
        </w:rPr>
        <w:t xml:space="preserve"> istotny element wdrażania zmian służących kształtowaniu kompetencji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F20CA2">
        <w:rPr>
          <w:rFonts w:asciiTheme="majorHAnsi" w:hAnsiTheme="majorHAnsi" w:cstheme="majorHAnsi"/>
          <w:sz w:val="24"/>
          <w:szCs w:val="24"/>
          <w:lang w:val="pl-PL"/>
        </w:rPr>
        <w:t>kluczowych dzieci.</w:t>
      </w:r>
    </w:p>
    <w:p w:rsidR="009842EA" w:rsidRPr="009842EA" w:rsidRDefault="009842EA" w:rsidP="009842EA">
      <w:pPr>
        <w:pStyle w:val="Akapitzlist"/>
        <w:rPr>
          <w:rFonts w:asciiTheme="majorHAnsi" w:hAnsiTheme="majorHAnsi" w:cstheme="majorHAnsi"/>
          <w:sz w:val="24"/>
          <w:szCs w:val="24"/>
          <w:lang w:val="pl-PL"/>
        </w:rPr>
      </w:pPr>
    </w:p>
    <w:p w:rsidR="009842EA" w:rsidRPr="00DF0656" w:rsidRDefault="009842EA" w:rsidP="00DF0656">
      <w:pPr>
        <w:pStyle w:val="Akapitzlist"/>
        <w:ind w:left="0"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9842EA">
        <w:rPr>
          <w:rFonts w:asciiTheme="majorHAnsi" w:hAnsiTheme="majorHAnsi" w:cstheme="majorHAnsi"/>
          <w:b/>
          <w:sz w:val="24"/>
          <w:szCs w:val="24"/>
          <w:lang w:val="pl-PL"/>
        </w:rPr>
        <w:t xml:space="preserve">Czas realizacji: </w:t>
      </w:r>
      <w:r w:rsidRPr="00DF0656">
        <w:rPr>
          <w:rFonts w:asciiTheme="majorHAnsi" w:hAnsiTheme="majorHAnsi" w:cstheme="majorHAnsi"/>
          <w:sz w:val="24"/>
          <w:szCs w:val="24"/>
          <w:lang w:val="pl-PL"/>
        </w:rPr>
        <w:t xml:space="preserve">7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godzin dydaktycznych (20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5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35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=</w:t>
      </w:r>
      <w:r w:rsidR="00D7364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DF0656" w:rsidRPr="00DF0656">
        <w:rPr>
          <w:rFonts w:asciiTheme="majorHAnsi" w:hAnsiTheme="majorHAnsi" w:cstheme="majorHAnsi"/>
          <w:sz w:val="24"/>
          <w:szCs w:val="24"/>
          <w:lang w:val="pl-PL"/>
        </w:rPr>
        <w:t>325 min.)</w:t>
      </w:r>
    </w:p>
    <w:p w:rsidR="009842EA" w:rsidRPr="009842EA" w:rsidRDefault="009842EA" w:rsidP="009842EA">
      <w:pPr>
        <w:pStyle w:val="Akapitzlist"/>
        <w:ind w:hanging="578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8109"/>
        <w:gridCol w:w="2168"/>
        <w:gridCol w:w="1347"/>
      </w:tblGrid>
      <w:tr w:rsidR="009842EA" w:rsidRPr="009842EA" w:rsidTr="009842EA">
        <w:tc>
          <w:tcPr>
            <w:tcW w:w="2943" w:type="dxa"/>
            <w:shd w:val="clear" w:color="auto" w:fill="BAD1FF" w:themeFill="accent1" w:themeFillTint="33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8109" w:type="dxa"/>
            <w:shd w:val="clear" w:color="auto" w:fill="BAD1FF" w:themeFill="accent1" w:themeFillTint="33"/>
            <w:vAlign w:val="center"/>
          </w:tcPr>
          <w:p w:rsidR="009842EA" w:rsidRPr="009842EA" w:rsidRDefault="009842EA" w:rsidP="008875DA">
            <w:pPr>
              <w:spacing w:line="276" w:lineRule="auto"/>
              <w:ind w:left="34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168" w:type="dxa"/>
            <w:shd w:val="clear" w:color="auto" w:fill="BAD1FF" w:themeFill="accent1" w:themeFillTint="33"/>
            <w:vAlign w:val="center"/>
          </w:tcPr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AD1FF" w:themeFill="accent1" w:themeFillTint="33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DF0656" w:rsidRPr="009842EA" w:rsidTr="005A1AEC">
        <w:tc>
          <w:tcPr>
            <w:tcW w:w="14567" w:type="dxa"/>
            <w:gridSpan w:val="4"/>
          </w:tcPr>
          <w:p w:rsidR="00DF0656" w:rsidRPr="00DF0656" w:rsidRDefault="00DF0656" w:rsidP="008875DA">
            <w:pPr>
              <w:spacing w:line="276" w:lineRule="auto"/>
              <w:rPr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9842EA" w:rsidRPr="009842EA" w:rsidTr="004A7D02">
        <w:tc>
          <w:tcPr>
            <w:tcW w:w="2943" w:type="dxa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Przywitanie uczestników, </w:t>
            </w:r>
            <w:r w:rsidRP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rozpoczęcie zajęć</w:t>
            </w:r>
          </w:p>
        </w:tc>
        <w:tc>
          <w:tcPr>
            <w:tcW w:w="8109" w:type="dxa"/>
          </w:tcPr>
          <w:p w:rsidR="009842EA" w:rsidRPr="009842EA" w:rsidRDefault="00C83AD3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odwołuje się do</w:t>
            </w:r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zajęć z modułu IV oraz prosi o przedstawienie realizacji zadań z kursu </w:t>
            </w:r>
            <w:proofErr w:type="spellStart"/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on-line</w:t>
            </w:r>
            <w:proofErr w:type="spellEnd"/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Moduł I: przedstawienie reklamy promującej ideę wspomagania do zaprezentowania na forum</w:t>
            </w:r>
            <w:r w:rsid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zadaniowym (technika </w:t>
            </w:r>
            <w:r w:rsidR="00E30405" w:rsidRPr="00C83AD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dowolna, </w:t>
            </w:r>
            <w:r w:rsidR="009842EA" w:rsidRPr="00C83AD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praca w parach</w:t>
            </w:r>
            <w:r w:rsidR="00E30405" w:rsidRPr="00C83AD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="009842EA" w:rsidRPr="00C83AD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168" w:type="dxa"/>
          </w:tcPr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9842EA" w:rsidRPr="009842EA" w:rsidRDefault="009842EA" w:rsidP="008875DA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  <w:tr w:rsidR="009842EA" w:rsidRPr="00C83AD3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Przedstawienie programu modułu</w:t>
            </w:r>
            <w:r w:rsidR="00E3040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informacje ogólne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prezentuje cele szkolenia związane z modułem V</w:t>
            </w:r>
            <w:r w:rsidR="00C83AD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168" w:type="dxa"/>
          </w:tcPr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D7364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</w:t>
            </w:r>
            <w:r w:rsidR="00C83AD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83AD3"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Proces uczenia się a rozwój kompetencji kluczowych</w:t>
            </w:r>
          </w:p>
        </w:tc>
        <w:tc>
          <w:tcPr>
            <w:tcW w:w="1347" w:type="dxa"/>
          </w:tcPr>
          <w:p w:rsidR="009842EA" w:rsidRPr="009842EA" w:rsidRDefault="009842EA" w:rsidP="008875DA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Żabka – jak się uczę?</w:t>
            </w:r>
            <w:r w:rsidRP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</w:t>
            </w: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stacje</w:t>
            </w:r>
            <w:proofErr w:type="gramEnd"/>
            <w:r w:rsidRP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zadaniowe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tworzy 4 stacje zdaniowe oraz 4 grupy. Na każdej stacji jest inna instrukcja do wykonania żaby z plasteliny:</w:t>
            </w:r>
          </w:p>
          <w:p w:rsidR="008875DA" w:rsidRDefault="009842EA" w:rsidP="008875DA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Instrukcja obrazkowa – stacja I</w:t>
            </w:r>
            <w:r w:rsid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75DA" w:rsidRDefault="009842EA" w:rsidP="008875DA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Instrukcja krok po kroku z wykorzystaniem zdjęć – stacja II</w:t>
            </w:r>
            <w:r w:rsidR="00E30405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75DA" w:rsidRDefault="009842EA" w:rsidP="008875DA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Instrukcja opisowa – stacja III</w:t>
            </w:r>
            <w:r w:rsidR="00E30405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9842EA" w:rsidRPr="008875DA" w:rsidRDefault="009842EA" w:rsidP="008875DA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Instruktaż filmowy – stacja IV</w:t>
            </w:r>
            <w:r w:rsidR="00E30405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Grupy zostają przydzielone do poszczególnych stacji. Po wykonaniu zadania</w:t>
            </w:r>
            <w:r w:rsid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grupy zm</w:t>
            </w:r>
            <w:r w:rsid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ienia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stację i wykonanie żaby wg innej instrukcji.</w:t>
            </w:r>
          </w:p>
          <w:p w:rsidR="009842EA" w:rsidRPr="009842EA" w:rsidRDefault="00C83AD3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</w:t>
            </w:r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czestnicy prezentują swoje prace.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zadaje uczestnikom pytania: </w:t>
            </w:r>
            <w:r w:rsidRPr="009842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 Ci się pracowało?</w:t>
            </w:r>
          </w:p>
          <w:p w:rsidR="009842EA" w:rsidRPr="008875D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pomagało/przeszkadzało w wykonaniu zadania?</w:t>
            </w:r>
          </w:p>
        </w:tc>
        <w:tc>
          <w:tcPr>
            <w:tcW w:w="2168" w:type="dxa"/>
            <w:vAlign w:val="center"/>
          </w:tcPr>
          <w:p w:rsid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1</w:t>
            </w:r>
            <w:r w:rsidR="00DF06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DF0656" w:rsidRPr="00DF0656" w:rsidRDefault="00DF0656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DF0656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Instrukcja ulepienia żabki</w:t>
            </w:r>
          </w:p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Tablety/laptopy</w:t>
            </w:r>
          </w:p>
          <w:p w:rsidR="009842EA" w:rsidRPr="009842EA" w:rsidRDefault="00E30405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Plastelina</w:t>
            </w: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</w:tc>
      </w:tr>
      <w:tr w:rsidR="009842EA" w:rsidRPr="00E30405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Uczenie się w świetle badań</w:t>
            </w:r>
          </w:p>
          <w:p w:rsidR="009842EA" w:rsidRPr="009842EA" w:rsidRDefault="008875D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Ćwiczenie</w:t>
            </w:r>
            <w:r w:rsidR="009842EA"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praca w </w:t>
            </w:r>
            <w:proofErr w:type="gramStart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parach       i</w:t>
            </w:r>
            <w:proofErr w:type="gramEnd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praca samodzielna</w:t>
            </w:r>
          </w:p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Podsumowanie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Trener przybliża pokrótce postać profesora Johna </w:t>
            </w:r>
            <w:proofErr w:type="spellStart"/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Hattiego</w:t>
            </w:r>
            <w:proofErr w:type="spellEnd"/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, przedmiot </w:t>
            </w:r>
            <w:r w:rsidR="00E30405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br/>
            </w:r>
            <w:r w:rsidR="00C83AD3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i metodologię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 jego badań.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Profesor John </w:t>
            </w:r>
            <w:proofErr w:type="spellStart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Hattie</w:t>
            </w:r>
            <w:proofErr w:type="spellEnd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Auckland </w:t>
            </w:r>
            <w:proofErr w:type="spellStart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University</w:t>
            </w:r>
            <w:proofErr w:type="spellEnd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Nowej Zelandii wraz ze swoim zespołem przez 15 lat analizował badania naukowe na temat tego, co wpływa na osiągnięcia uczniów.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prezentuje słuchaczom listę przykładowych czynników – interwencji, które mają różny wpływ na uczenie się uczniów. Interwencje są ułożone w losowej kolejności. Zadaniem uczestników jest wskazanie 5 czynników, które przynoszą pozytywne efekty.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Trener pr</w:t>
            </w:r>
            <w:r w:rsidR="00E30405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osi</w:t>
            </w:r>
            <w:r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, aby uczestnicy odwrócili 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się do o</w:t>
            </w:r>
            <w:r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soby siedzącej obok i w parach 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porozmawiali o tym, jakie 5 interwencji, według nich</w:t>
            </w:r>
            <w:r w:rsidR="00E30405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,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 ma naj</w:t>
            </w:r>
            <w:r w:rsidR="00E30405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bardziej</w:t>
            </w:r>
            <w:r w:rsidR="00C83AD3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 pozytywny wpływ na poprawę ucze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nia</w:t>
            </w:r>
            <w:r w:rsidR="00C83AD3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 się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.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trener prosi o indywidualne uszeregowanie interwencji od, ich zdaniem, najskuteczniejs</w:t>
            </w:r>
            <w:r w:rsidR="00C83AD3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zych, do najmniej skutecznych (Z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ałącznik nr 2).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lastRenderedPageBreak/>
              <w:t>Po zakończeniu ćwiczenia uczestnicy będą mogli porówn</w:t>
            </w:r>
            <w:r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ać stworzone przez siebie listy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 z wykazem tego, co naprawdę pozytywnie oddziałuje na osiągnięcia uczniów. Trener przedstawia listę interwencji, które według badań prof. </w:t>
            </w:r>
            <w:proofErr w:type="spellStart"/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Hattiego</w:t>
            </w:r>
            <w:proofErr w:type="spellEnd"/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 dają najlepsze efekty. Teraz uczestnicy mogą zobaczyć</w:t>
            </w:r>
            <w:r w:rsidR="00E30405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,</w:t>
            </w: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 na ile byli blisko prawdy.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Dyskusja –udzielanie odpowiedzi na pytanie: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b/>
                <w:iCs/>
                <w:sz w:val="24"/>
                <w:szCs w:val="24"/>
                <w:lang w:val="pl-PL"/>
              </w:rPr>
            </w:pPr>
            <w:r w:rsidRPr="00E3040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Co</w:t>
            </w:r>
            <w:r w:rsidRPr="009842EA">
              <w:rPr>
                <w:rFonts w:asciiTheme="majorHAnsi" w:hAnsiTheme="majorHAnsi" w:cstheme="majorHAnsi"/>
                <w:b/>
                <w:iCs/>
                <w:sz w:val="24"/>
                <w:szCs w:val="24"/>
                <w:lang w:val="pl-PL"/>
              </w:rPr>
              <w:t xml:space="preserve"> </w:t>
            </w:r>
            <w:r w:rsidRPr="00E3040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z prezentowanych działań może w przedszkolu zadziałać najlepiej?</w:t>
            </w:r>
          </w:p>
        </w:tc>
        <w:tc>
          <w:tcPr>
            <w:tcW w:w="2168" w:type="dxa"/>
          </w:tcPr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C83AD3" w:rsidRPr="009842EA" w:rsidRDefault="00C83AD3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V </w:t>
            </w:r>
            <w:r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Proces uczenia się a rozwój kompetencji kluczowych</w:t>
            </w:r>
          </w:p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2</w:t>
            </w:r>
            <w:r w:rsidR="00DF06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9842EA" w:rsidRPr="00DF0656" w:rsidRDefault="00DF0656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DF065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Przykładowe czynniki wpływające na wyniki w nauce</w:t>
            </w:r>
          </w:p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30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Mini wykład na temat etapów uczenia się wg Noela </w:t>
            </w:r>
            <w:proofErr w:type="spellStart"/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Burha</w:t>
            </w:r>
            <w:proofErr w:type="spellEnd"/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przedstawia 4 etapy procesu uczenia się wg Noela </w:t>
            </w:r>
            <w:proofErr w:type="spellStart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Burha</w:t>
            </w:r>
            <w:proofErr w:type="spellEnd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9842EA" w:rsidRDefault="009842EA" w:rsidP="008875DA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Nieświadoma niekompetencja.</w:t>
            </w:r>
          </w:p>
          <w:p w:rsidR="009842EA" w:rsidRDefault="009842EA" w:rsidP="008875DA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Świadoma niekompetencja.</w:t>
            </w:r>
          </w:p>
          <w:p w:rsidR="009842EA" w:rsidRDefault="009842EA" w:rsidP="008875DA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Świadoma kompetencja.</w:t>
            </w:r>
          </w:p>
          <w:p w:rsidR="009842EA" w:rsidRPr="009842EA" w:rsidRDefault="009842EA" w:rsidP="008875DA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Nieświadoma kompetencja.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ilustruje wykład przykładami z rozwoju dziecka, zadaje pytanie: </w:t>
            </w:r>
            <w:r w:rsidRPr="009842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umiejętność chodzenia dla zdrowego 3 latka jest już nieświadomą kompetencją? Kiedy jest nieświadomą kompetencją?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Kiedy</w:t>
            </w:r>
            <w:r w:rsid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</w:t>
            </w:r>
            <w:r w:rsidRPr="009842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Waszym zdaniem</w:t>
            </w:r>
            <w:r w:rsid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</w:t>
            </w:r>
            <w:r w:rsidRPr="009842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umiejętnoś</w:t>
            </w:r>
            <w:r w:rsid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ć ubierania się jest nieświadomą</w:t>
            </w:r>
            <w:r w:rsidRPr="009842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kompetencją?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zachęca do dyskusji.</w:t>
            </w:r>
          </w:p>
        </w:tc>
        <w:tc>
          <w:tcPr>
            <w:tcW w:w="2168" w:type="dxa"/>
            <w:vAlign w:val="center"/>
          </w:tcPr>
          <w:p w:rsid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C83AD3" w:rsidRPr="009842EA" w:rsidRDefault="00D73644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</w:t>
            </w:r>
            <w:r w:rsidR="00C83AD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83AD3"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Proces uczenia się a rozwój kompetencji kluczowych</w:t>
            </w:r>
          </w:p>
          <w:p w:rsidR="00C83AD3" w:rsidRPr="009842EA" w:rsidRDefault="00C83AD3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Autorefleksja – </w:t>
            </w:r>
            <w:r w:rsidRP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identyfikacja etapu uczenia się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wyświetla na prezentacji pytania z wypisanymi różnymi umiejętnościami, uczestnicy próbują określić, na którym etapie uczenia są w poszczególnych przykładach:</w:t>
            </w:r>
          </w:p>
          <w:p w:rsidR="008875DA" w:rsidRDefault="00E30405" w:rsidP="008875DA">
            <w:pPr>
              <w:pStyle w:val="Akapitzlist"/>
              <w:numPr>
                <w:ilvl w:val="0"/>
                <w:numId w:val="16"/>
              </w:num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awiązywanie</w:t>
            </w:r>
            <w:proofErr w:type="gramEnd"/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butów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75DA" w:rsidRDefault="00E30405" w:rsidP="008875DA">
            <w:pPr>
              <w:pStyle w:val="Akapitzlist"/>
              <w:numPr>
                <w:ilvl w:val="0"/>
                <w:numId w:val="16"/>
              </w:num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</w:t>
            </w:r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obienie</w:t>
            </w:r>
            <w:proofErr w:type="gramEnd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tortu </w:t>
            </w:r>
            <w:proofErr w:type="spellStart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Pavlowa</w:t>
            </w:r>
            <w:proofErr w:type="spellEnd"/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75DA" w:rsidRDefault="00E30405" w:rsidP="008875DA">
            <w:pPr>
              <w:pStyle w:val="Akapitzlist"/>
              <w:numPr>
                <w:ilvl w:val="0"/>
                <w:numId w:val="16"/>
              </w:num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ływanie</w:t>
            </w:r>
            <w:proofErr w:type="gramEnd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stylem grzbietowym</w:t>
            </w: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75DA" w:rsidRDefault="00E30405" w:rsidP="008875DA">
            <w:pPr>
              <w:pStyle w:val="Akapitzlist"/>
              <w:numPr>
                <w:ilvl w:val="0"/>
                <w:numId w:val="16"/>
              </w:num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</w:t>
            </w:r>
            <w:r w:rsidR="0079475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bsługa</w:t>
            </w:r>
            <w:proofErr w:type="gramEnd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smartfonu</w:t>
            </w:r>
            <w:proofErr w:type="spellEnd"/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75DA" w:rsidRDefault="00E30405" w:rsidP="008875DA">
            <w:pPr>
              <w:pStyle w:val="Akapitzlist"/>
              <w:numPr>
                <w:ilvl w:val="0"/>
                <w:numId w:val="16"/>
              </w:num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</w:t>
            </w:r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rowadzenie</w:t>
            </w:r>
            <w:proofErr w:type="gramEnd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samochodu</w:t>
            </w: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75DA" w:rsidRDefault="00E30405" w:rsidP="008875DA">
            <w:pPr>
              <w:pStyle w:val="Akapitzlist"/>
              <w:numPr>
                <w:ilvl w:val="0"/>
                <w:numId w:val="16"/>
              </w:num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</w:t>
            </w:r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rozumiewanie</w:t>
            </w:r>
            <w:proofErr w:type="gramEnd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się w języku mandaryńskim</w:t>
            </w: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75DA" w:rsidRDefault="00E30405" w:rsidP="008875DA">
            <w:pPr>
              <w:pStyle w:val="Akapitzlist"/>
              <w:numPr>
                <w:ilvl w:val="0"/>
                <w:numId w:val="16"/>
              </w:num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</w:t>
            </w:r>
            <w:r w:rsidR="0079475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azda</w:t>
            </w:r>
            <w:proofErr w:type="gramEnd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rowerze</w:t>
            </w: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9842EA" w:rsidRPr="008875DA" w:rsidRDefault="00E30405" w:rsidP="008875DA">
            <w:pPr>
              <w:pStyle w:val="Akapitzlist"/>
              <w:numPr>
                <w:ilvl w:val="0"/>
                <w:numId w:val="16"/>
              </w:num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</w:t>
            </w:r>
            <w:r w:rsidR="0079475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spomaganie</w:t>
            </w:r>
            <w:proofErr w:type="gramEnd"/>
            <w:r w:rsidR="009842EA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przedszkola</w:t>
            </w: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168" w:type="dxa"/>
            <w:vAlign w:val="center"/>
          </w:tcPr>
          <w:p w:rsid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</w:p>
          <w:p w:rsidR="00C83AD3" w:rsidRPr="009842EA" w:rsidRDefault="00D73644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</w:t>
            </w:r>
            <w:r w:rsidR="00C83AD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83AD3"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Proces uczenia się a rozwój kompetencji kluczowych</w:t>
            </w:r>
          </w:p>
          <w:p w:rsidR="00C83AD3" w:rsidRPr="009842EA" w:rsidRDefault="00C83AD3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Wędrujące plakaty </w:t>
            </w:r>
            <w:r w:rsidRP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– rozwój prostych i złożonych umiejętności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 o podanie 5 przykładów złożonych czynności i każdą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nich zapisuje na osobnym </w:t>
            </w:r>
            <w:proofErr w:type="spellStart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Trener tworzy 5 zespołów, każdy z nich dostaje jeden arkusz z </w:t>
            </w:r>
            <w:r w:rsid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apisan</w:t>
            </w:r>
            <w:r w:rsid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umiejętnością. Zadaniem grup jest napisać dwie proste umiejętności, które składają się na podaną umiejętność złożoną.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napisaniu</w:t>
            </w:r>
            <w:r w:rsid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plakaty wędrują do kolejnej grupy, która dopisuje dwie proste umiejętności, tak długo, aż wszystkie grupy będą pracowały nad każdym plakatem.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koniec następuje omówienie plakatów.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Wniosek: Przedszkole jest ważnym miejscem, w którym utrwalane są proste umiejętności, umiejętności złożone już nabyte oraz przygotowanie do uczenia się nowych umiejętności złożonych.</w:t>
            </w:r>
          </w:p>
        </w:tc>
        <w:tc>
          <w:tcPr>
            <w:tcW w:w="2168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 arkuszy </w:t>
            </w:r>
            <w:proofErr w:type="spellStart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</w:p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Mazaki</w:t>
            </w: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35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Mini wykład </w:t>
            </w:r>
            <w:r w:rsidRP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– czynności proste i złożone na podstawie taksonomii celów </w:t>
            </w:r>
            <w:proofErr w:type="spellStart"/>
            <w:r w:rsidRP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Niemierki</w:t>
            </w:r>
            <w:proofErr w:type="spellEnd"/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prezentuje teorię na temat czynności prostych i złożonych na podstawie taksonomii celów </w:t>
            </w:r>
            <w:proofErr w:type="spellStart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Niemierki</w:t>
            </w:r>
            <w:proofErr w:type="spellEnd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8875DA" w:rsidRDefault="009842EA" w:rsidP="008875DA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Taksonomia celów w dziedzinie poznawczej</w:t>
            </w:r>
            <w:r w:rsidR="00E30405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75DA" w:rsidRDefault="009842EA" w:rsidP="008875DA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Taksonomia celów praktycznych</w:t>
            </w:r>
            <w:r w:rsidR="00E30405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9842EA" w:rsidRPr="008875DA" w:rsidRDefault="009842EA" w:rsidP="008875DA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Taksonomia celów w dziedzinie motywacyjnej</w:t>
            </w:r>
            <w:r w:rsidR="00E30405" w:rsidRPr="008875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Podkreśla znaczenie kolejnych poziomów zdobywania kompetencji: wiedza, umiejętności,</w:t>
            </w:r>
            <w:r w:rsidR="0079475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postawy. Porównuje prezentowaną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taksonomię celów do procesu uczenia się Noela </w:t>
            </w:r>
            <w:proofErr w:type="spellStart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Burha</w:t>
            </w:r>
            <w:proofErr w:type="spellEnd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Wniosek: Dobrze zaplanowany proces uczenia się uwzględnia aspekt poznawczy, emocjonalno-motywacyjny oraz praktyczny.</w:t>
            </w:r>
          </w:p>
        </w:tc>
        <w:tc>
          <w:tcPr>
            <w:tcW w:w="2168" w:type="dxa"/>
            <w:vAlign w:val="center"/>
          </w:tcPr>
          <w:p w:rsidR="009842EA" w:rsidRDefault="006A4FFF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79475A" w:rsidRPr="009842EA" w:rsidRDefault="00D73644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</w:t>
            </w:r>
            <w:r w:rsidR="0079475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79475A"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Proces uczenia się a rozwój kompetencji kluczowych</w:t>
            </w:r>
          </w:p>
          <w:p w:rsidR="0079475A" w:rsidRPr="009842EA" w:rsidRDefault="0079475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Moje uczenie się – dzielenie się doświadczeniem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uczestników, aby przypomnieli sobie i 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pisali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E3040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jak uczyli się obsługi komputera.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Prosi chętne osoby o podzielenie się swoim doświadczeniem. Zwraca uwagę na różnice w podejściu do nauczenia się nowej umiejętności. 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Pyta uczestników, czy któr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ś 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 strategii są lepsze,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bardziej się sprawdzają?</w:t>
            </w:r>
          </w:p>
        </w:tc>
        <w:tc>
          <w:tcPr>
            <w:tcW w:w="2168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Mini wykład na temat uczenia się wg cyklu Kolba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Prezentuje cykl Kolba: teoria, refleksja, praktyka, pragmatyka. Każdy z nas ma swój styl uczenia się. Uczenie się nie jest tylko zdobywanie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wiedzy (teoria)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obserwacj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przemyślenia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mi,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jak to działa (refleksja),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to również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podejmowanie prób 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(praktyka) oraz zastanawianie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się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jak można to coś zastosować w praktyce (pragmatyka). Dopiero przejście przez te cztery fazy ugruntuje nasz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nową umiejętność.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nawiązuje do prezentowanych doświadczeń uczestników związanych </w:t>
            </w:r>
            <w:r w:rsidR="006A4FF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uczeniem się nowych umiejętności. Prosi o zastanowienie się, czy mogą określić, jaka jest u nich kolejność występowania faz uczenia się.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koniec odsyła do platformy MOODLE, gdzie zamieszczony jest link do autodiagnozy swojego stylu uczenia się.</w:t>
            </w:r>
          </w:p>
        </w:tc>
        <w:tc>
          <w:tcPr>
            <w:tcW w:w="2168" w:type="dxa"/>
            <w:vAlign w:val="center"/>
          </w:tcPr>
          <w:p w:rsidR="009842EA" w:rsidRDefault="006A4FFF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79475A" w:rsidRPr="009842EA" w:rsidRDefault="00D73644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</w:t>
            </w:r>
            <w:r w:rsidR="0079475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79475A"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Proces uczenia się a rozwój kompetencji kluczowych</w:t>
            </w:r>
          </w:p>
          <w:p w:rsidR="0079475A" w:rsidRPr="009842EA" w:rsidRDefault="0079475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Mapa </w:t>
            </w:r>
            <w:proofErr w:type="gramStart"/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mentalna </w:t>
            </w:r>
            <w:r w:rsidRP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– Co</w:t>
            </w:r>
            <w:proofErr w:type="gramEnd"/>
            <w:r w:rsidRP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wpływa na proces uczenia się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uczestników, aby na karteczkach samoprzylepnych napisali</w:t>
            </w:r>
            <w:r w:rsidR="0079475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 jednym czynniku wpływającym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proces uczenia się (4-5 pomysłów). Następnie uczestnicy odczytują i przyklejają karteczki do dużego arkusza papieru, próbują uporządkować czynniki.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zwraca uwagę, że na proces uczenia się wpływają czynniki osobowościowe oraz czynniki zewnętrzne związane ze środowiskiem edukacyjnym.</w:t>
            </w:r>
          </w:p>
        </w:tc>
        <w:tc>
          <w:tcPr>
            <w:tcW w:w="2168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Karteczki samoprzylepne, </w:t>
            </w:r>
            <w:proofErr w:type="spellStart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mazaki, prezentacja</w:t>
            </w: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Prezentacja filmu 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– Jak uczy się małe dziecko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włącza fragment film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 z wykładu prof. Brzezińskiej </w:t>
            </w:r>
            <w:r w:rsidR="00F00B13"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 uczy się małe dziecko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hyperlink r:id="rId8" w:history="1">
              <w:r w:rsidRPr="009842EA">
                <w:rPr>
                  <w:rStyle w:val="Hipercze"/>
                  <w:rFonts w:asciiTheme="majorHAnsi" w:hAnsiTheme="majorHAnsi" w:cstheme="majorHAnsi"/>
                  <w:sz w:val="24"/>
                  <w:szCs w:val="24"/>
                  <w:lang w:val="pl-PL"/>
                </w:rPr>
                <w:t>https://www.youtube.com/watch?v=N2vdNZWarH8</w:t>
              </w:r>
            </w:hyperlink>
          </w:p>
          <w:p w:rsidR="009842EA" w:rsidRPr="009842EA" w:rsidRDefault="00F00B13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Po prezentacji </w:t>
            </w:r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prosi uczestników o podzielenie się swoimi refleksjami.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Podsumowuje mini wykładem na temat najkorzystniejszych sposo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bów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uczenia się dziecka w wieku przedszkolnym: eksperymentowanie, zabawa i gry, udział </w:t>
            </w:r>
            <w:r w:rsidR="006A4FF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projektach edukacyjnych.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Podkreśla, że bardzo ważne w procesie uczenia się jest zaangażowanie dziecka, umożliwienie mu działania, popełnian</w:t>
            </w:r>
            <w:r w:rsidR="006A4FF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ia błędów. Dzieci w tym wieku 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bardzo dużo uczą się również przez naśladowanie dorosłych</w:t>
            </w:r>
            <w:r w:rsidR="0079475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rówieśników. Dlatego ważne jest stwarzanie sytuacji edukacyjnych umożliwiających uczenie się.</w:t>
            </w:r>
          </w:p>
        </w:tc>
        <w:tc>
          <w:tcPr>
            <w:tcW w:w="2168" w:type="dxa"/>
            <w:vAlign w:val="center"/>
          </w:tcPr>
          <w:p w:rsidR="009842EA" w:rsidRDefault="006A4FFF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</w:p>
          <w:p w:rsidR="0079475A" w:rsidRPr="009842EA" w:rsidRDefault="00D73644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</w:t>
            </w:r>
            <w:r w:rsidR="0079475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79475A"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</w:t>
            </w:r>
            <w:r w:rsidR="0079475A"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uczenia się a rozwój kompetencji kluczowych</w:t>
            </w:r>
          </w:p>
          <w:p w:rsidR="0079475A" w:rsidRPr="009842EA" w:rsidRDefault="0079475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30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5 Q- przedszkole przyjazne uczeniu się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wyświetla slajd, na którym jest 5 pytań:</w:t>
            </w:r>
          </w:p>
          <w:p w:rsidR="009842EA" w:rsidRPr="00F00B13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Czego możemy robić </w:t>
            </w:r>
            <w:r w:rsidRP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więcej</w:t>
            </w:r>
            <w:r w:rsidRPr="00F00B13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,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aby przedszkole sprzyjało uczeniu się dziecka?</w:t>
            </w:r>
          </w:p>
          <w:p w:rsidR="009842EA" w:rsidRPr="00F00B13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Czego możemy robić </w:t>
            </w:r>
            <w:r w:rsidRP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mniej</w:t>
            </w:r>
            <w:r w:rsidRPr="00F00B13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,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aby przedszkole sprzyjało uczeniu się dziecka?</w:t>
            </w:r>
          </w:p>
          <w:p w:rsidR="009842EA" w:rsidRPr="00F00B13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Co możemy robić </w:t>
            </w:r>
            <w:r w:rsidRP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inaczej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 aby przedszkole sprzyjało uczeniu się dziecka?</w:t>
            </w:r>
          </w:p>
          <w:p w:rsidR="009842EA" w:rsidRPr="00F00B13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Co możemy przestać </w:t>
            </w:r>
            <w:r w:rsidRP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robić,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aby przedszkole sprzyjało uczeniu się dziecka?</w:t>
            </w:r>
          </w:p>
          <w:p w:rsidR="009842EA" w:rsidRPr="00F00B13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Co możemy zacząć </w:t>
            </w:r>
            <w:r w:rsidRP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robić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 aby przedszkole sprzyjało uczeniu się dziecka?</w:t>
            </w:r>
          </w:p>
          <w:p w:rsidR="009842EA" w:rsidRPr="009842EA" w:rsidRDefault="0079475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prowadzi dyskusję</w:t>
            </w:r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w </w:t>
            </w:r>
            <w:proofErr w:type="gramStart"/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trakcie której</w:t>
            </w:r>
            <w:proofErr w:type="gramEnd"/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uczestnicy próbują odpowiedzieć na postawione pytania.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9475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Wniosek: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Przedszkole jest miejscem, 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które 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znaczący sposób wpływa na uczenie się dziecka i cały czas trzeba pracować nad polepszeniem warunków sprzyjających uczeniu się.</w:t>
            </w:r>
          </w:p>
        </w:tc>
        <w:tc>
          <w:tcPr>
            <w:tcW w:w="2168" w:type="dxa"/>
            <w:vAlign w:val="center"/>
          </w:tcPr>
          <w:p w:rsidR="009842EA" w:rsidRDefault="006A4FFF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79475A" w:rsidRPr="009842EA" w:rsidRDefault="0079475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</w:t>
            </w:r>
            <w:r w:rsidR="008D56B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Proces uczenia się a rozwój kompetencji kluczowych</w:t>
            </w:r>
          </w:p>
          <w:p w:rsidR="0079475A" w:rsidRPr="009842EA" w:rsidRDefault="0079475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15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6 kapeluszy myślowych de Bono </w:t>
            </w:r>
            <w:r w:rsidRP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– proces uczenia się drogą do kształtowania 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rozwijania kompetencji kluczowych dzieci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tworzy 6 grup – każda z nich otrzymuje inny kapelusz: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1 – kapelusz biały - fakty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2 – kapelusz niebieski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organizator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3 – kapelusz czerwony - emocje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4 – kapelusz żółty- optymizm</w:t>
            </w:r>
          </w:p>
          <w:p w:rsidR="009842EA" w:rsidRPr="009842EA" w:rsidRDefault="00F00B13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5 – kapelusz czarny -</w:t>
            </w:r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pesymizm</w:t>
            </w:r>
          </w:p>
          <w:p w:rsidR="009842EA" w:rsidRPr="009842EA" w:rsidRDefault="00F00B13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Grupa 6 – kapelusz zielony -</w:t>
            </w:r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="009842EA"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możliwości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Każdy kapelusz symbolizuje inny sposób myślenia. 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podaje temat dyskusji: 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Wiedza o przebiegu procesu uczenia się </w:t>
            </w:r>
            <w:r w:rsid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 skuteczna diagnoza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pracy przedszkola </w:t>
            </w:r>
            <w:r w:rsidR="0079475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oraz organizacja</w:t>
            </w: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procesu wspomagania</w:t>
            </w: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wyświetla go na slajdzie.</w:t>
            </w:r>
          </w:p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podsumowuje dyskusję, podkreśla, że znajomość procesu uczenia się pomaga w ustaleniu </w:t>
            </w:r>
            <w:r w:rsidR="0006518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obszarów diagnozy, monitorowaniu</w:t>
            </w:r>
            <w:bookmarkStart w:id="0" w:name="_GoBack"/>
            <w:bookmarkEnd w:id="0"/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procesu uczenia się dzieci oraz pomoże w organizacji całego procesu wspomagan</w:t>
            </w:r>
            <w:r w:rsidR="001906A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ia, np. w trakcie spotkań z rad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pedagogiczną.</w:t>
            </w:r>
          </w:p>
        </w:tc>
        <w:tc>
          <w:tcPr>
            <w:tcW w:w="2168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Wycięte kolorowe kapelusze</w:t>
            </w:r>
            <w:r w:rsidR="00F00B1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D73644" w:rsidRDefault="00D73644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842EA" w:rsidRDefault="006A4FFF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79475A" w:rsidRPr="009842EA" w:rsidRDefault="00D73644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</w:t>
            </w:r>
            <w:r w:rsidR="0079475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79475A"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a rozwój </w:t>
            </w:r>
            <w:r w:rsidR="0079475A" w:rsidRPr="00C83AD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kompetencji kluczowych</w:t>
            </w:r>
          </w:p>
          <w:p w:rsidR="0079475A" w:rsidRPr="009842EA" w:rsidRDefault="0079475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30 </w:t>
            </w:r>
          </w:p>
        </w:tc>
      </w:tr>
      <w:tr w:rsidR="009842EA" w:rsidRPr="009842EA" w:rsidTr="004A7D02">
        <w:tc>
          <w:tcPr>
            <w:tcW w:w="2943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Podsumowanie</w:t>
            </w:r>
          </w:p>
        </w:tc>
        <w:tc>
          <w:tcPr>
            <w:tcW w:w="8109" w:type="dxa"/>
          </w:tcPr>
          <w:p w:rsidR="009842EA" w:rsidRPr="009842EA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 o dokończenie zdania:</w:t>
            </w:r>
          </w:p>
          <w:p w:rsidR="009842EA" w:rsidRPr="00F00B13" w:rsidRDefault="009842EA" w:rsidP="008875DA">
            <w:pPr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Dzisiaj przekonałam/</w:t>
            </w:r>
            <w:proofErr w:type="spellStart"/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łem</w:t>
            </w:r>
            <w:proofErr w:type="spellEnd"/>
            <w:r w:rsidRPr="00F00B1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się, że…</w:t>
            </w:r>
          </w:p>
        </w:tc>
        <w:tc>
          <w:tcPr>
            <w:tcW w:w="2168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9842EA" w:rsidRPr="009842EA" w:rsidRDefault="009842EA" w:rsidP="008875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42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</w:tbl>
    <w:p w:rsidR="009842EA" w:rsidRPr="009842EA" w:rsidRDefault="009842EA" w:rsidP="009842EA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:rsidR="009842EA" w:rsidRPr="009842EA" w:rsidRDefault="009842EA" w:rsidP="008875DA">
      <w:pPr>
        <w:spacing w:line="276" w:lineRule="auto"/>
        <w:ind w:firstLine="0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9842EA">
        <w:rPr>
          <w:rFonts w:asciiTheme="majorHAnsi" w:hAnsiTheme="majorHAnsi" w:cstheme="majorHAnsi"/>
          <w:b/>
          <w:bCs/>
          <w:sz w:val="24"/>
          <w:szCs w:val="24"/>
          <w:lang w:val="pl-PL"/>
        </w:rPr>
        <w:t>Zasoby edukacyjne: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Borek A., </w:t>
      </w:r>
      <w:proofErr w:type="spellStart"/>
      <w:r w:rsidRPr="00F00B13">
        <w:rPr>
          <w:rFonts w:asciiTheme="majorHAnsi" w:hAnsiTheme="majorHAnsi" w:cstheme="majorHAnsi"/>
          <w:sz w:val="24"/>
          <w:szCs w:val="24"/>
          <w:lang w:val="pl-PL"/>
        </w:rPr>
        <w:t>Domerecka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B., Dobrze zorganizowana aktywność i bierność, System Ewaluacji Oświaty [online, dostęp dn. 31.07.2018]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F00B13">
        <w:rPr>
          <w:rFonts w:asciiTheme="majorHAnsi" w:hAnsiTheme="majorHAnsi" w:cstheme="majorHAnsi"/>
          <w:sz w:val="24"/>
          <w:szCs w:val="24"/>
          <w:lang w:val="pl-PL"/>
        </w:rPr>
        <w:t>Dumont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H., </w:t>
      </w:r>
      <w:proofErr w:type="spellStart"/>
      <w:r w:rsidRPr="00F00B13">
        <w:rPr>
          <w:rFonts w:asciiTheme="majorHAnsi" w:hAnsiTheme="majorHAnsi" w:cstheme="majorHAnsi"/>
          <w:sz w:val="24"/>
          <w:szCs w:val="24"/>
          <w:lang w:val="pl-PL"/>
        </w:rPr>
        <w:t>Istanc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D., </w:t>
      </w:r>
      <w:proofErr w:type="spellStart"/>
      <w:r w:rsidRPr="00F00B13">
        <w:rPr>
          <w:rFonts w:asciiTheme="majorHAnsi" w:hAnsiTheme="majorHAnsi" w:cstheme="majorHAnsi"/>
          <w:sz w:val="24"/>
          <w:szCs w:val="24"/>
          <w:lang w:val="pl-PL"/>
        </w:rPr>
        <w:t>Benavides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F., Istota uczenia się. Wykorzystanie wyników badan w praktyce, </w:t>
      </w:r>
      <w:proofErr w:type="spellStart"/>
      <w:r w:rsidRPr="00F00B13">
        <w:rPr>
          <w:rFonts w:asciiTheme="majorHAnsi" w:hAnsiTheme="majorHAnsi" w:cstheme="majorHAnsi"/>
          <w:sz w:val="24"/>
          <w:szCs w:val="24"/>
          <w:lang w:val="pl-PL"/>
        </w:rPr>
        <w:t>Wolters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F00B13">
        <w:rPr>
          <w:rFonts w:asciiTheme="majorHAnsi" w:hAnsiTheme="majorHAnsi" w:cstheme="majorHAnsi"/>
          <w:sz w:val="24"/>
          <w:szCs w:val="24"/>
          <w:lang w:val="pl-PL"/>
        </w:rPr>
        <w:t>Kluwer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>, Warszawa 2013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F00B13">
        <w:rPr>
          <w:rFonts w:asciiTheme="majorHAnsi" w:hAnsiTheme="majorHAnsi" w:cstheme="majorHAnsi"/>
          <w:sz w:val="24"/>
          <w:szCs w:val="24"/>
          <w:lang w:val="pl-PL"/>
        </w:rPr>
        <w:t>Hattie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J., Widoczne uczenie się dla nauczycieli, Centrum Edukacji Obywatelskiej, Warszawa 2015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00B13">
        <w:rPr>
          <w:rFonts w:asciiTheme="majorHAnsi" w:hAnsiTheme="majorHAnsi" w:cstheme="majorHAnsi"/>
          <w:sz w:val="24"/>
          <w:szCs w:val="24"/>
          <w:lang w:val="pl-PL"/>
        </w:rPr>
        <w:t>Ligęza A., Franczak J., Jak analizuje się wyniki egzaminów zewnętrznych w polskich szkołach? Raport z wyników ewaluacji zewnętrznej, System Ewaluacji Oświaty [online, dostęp dn. 24.07.2018]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00B13">
        <w:rPr>
          <w:rFonts w:asciiTheme="majorHAnsi" w:hAnsiTheme="majorHAnsi" w:cstheme="majorHAnsi"/>
          <w:sz w:val="24"/>
          <w:szCs w:val="24"/>
          <w:lang w:val="pl-PL"/>
        </w:rPr>
        <w:t>Marzano R.J., Sztuka i teoria skutecznego nauczania, Centrum Edukacji Obywatelskiej, Warszawa 2012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00B13">
        <w:rPr>
          <w:rFonts w:asciiTheme="majorHAnsi" w:hAnsiTheme="majorHAnsi" w:cstheme="majorHAnsi"/>
          <w:sz w:val="24"/>
          <w:szCs w:val="24"/>
          <w:lang w:val="pl-PL"/>
        </w:rPr>
        <w:t>Okoń W., Wprowadzenie do dydaktyki ogólnej, Wydawnictwo Akademickie Żak, Warszawa 1998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00B13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 xml:space="preserve">Profesjonalizacja pracy nauczyciela –widoczne nauczanie i uczenie się Jacek </w:t>
      </w:r>
      <w:proofErr w:type="spellStart"/>
      <w:r w:rsidRPr="00F00B13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>Strzemieczny</w:t>
      </w:r>
      <w:proofErr w:type="spellEnd"/>
      <w:r w:rsidRPr="00F00B13">
        <w:rPr>
          <w:rFonts w:asciiTheme="majorHAnsi" w:eastAsia="Times New Roman" w:hAnsiTheme="majorHAnsi" w:cstheme="majorHAnsi"/>
          <w:sz w:val="24"/>
          <w:szCs w:val="24"/>
          <w:lang w:val="pl-PL" w:eastAsia="pl-PL"/>
        </w:rPr>
        <w:t xml:space="preserve">, SEO System Ewaluacji Oświaty </w:t>
      </w:r>
      <w:hyperlink r:id="rId9" w:history="1">
        <w:r w:rsidRPr="00F00B13">
          <w:rPr>
            <w:rStyle w:val="Hipercze"/>
            <w:rFonts w:asciiTheme="majorHAnsi" w:hAnsiTheme="majorHAnsi" w:cstheme="majorHAnsi"/>
            <w:i/>
            <w:iCs/>
            <w:sz w:val="24"/>
            <w:szCs w:val="24"/>
            <w:lang w:val="pl-PL"/>
          </w:rPr>
          <w:t>https</w:t>
        </w:r>
        <w:proofErr w:type="gramStart"/>
        <w:r w:rsidRPr="00F00B13">
          <w:rPr>
            <w:rStyle w:val="Hipercze"/>
            <w:rFonts w:asciiTheme="majorHAnsi" w:hAnsiTheme="majorHAnsi" w:cstheme="majorHAnsi"/>
            <w:i/>
            <w:iCs/>
            <w:sz w:val="24"/>
            <w:szCs w:val="24"/>
            <w:lang w:val="pl-PL"/>
          </w:rPr>
          <w:t>://</w:t>
        </w:r>
      </w:hyperlink>
      <w:hyperlink r:id="rId10" w:history="1">
        <w:proofErr w:type="gramEnd"/>
        <w:r w:rsidRPr="00F00B13">
          <w:rPr>
            <w:rStyle w:val="Hipercze"/>
            <w:rFonts w:asciiTheme="majorHAnsi" w:hAnsiTheme="majorHAnsi" w:cstheme="majorHAnsi"/>
            <w:i/>
            <w:iCs/>
            <w:sz w:val="24"/>
            <w:szCs w:val="24"/>
            <w:lang w:val="pl-PL"/>
          </w:rPr>
          <w:t>www.npseo.pl/data/various/files/Sesja%20I_3%20Jacek%20Strzemieczny.pdf</w:t>
        </w:r>
      </w:hyperlink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[online, dostęp dn. 24.07.2018]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Rosenberg M., Porozumienie bez przemocy, Jacek </w:t>
      </w:r>
      <w:proofErr w:type="gramStart"/>
      <w:r w:rsidRPr="00F00B13">
        <w:rPr>
          <w:rFonts w:asciiTheme="majorHAnsi" w:hAnsiTheme="majorHAnsi" w:cstheme="majorHAnsi"/>
          <w:sz w:val="24"/>
          <w:szCs w:val="24"/>
          <w:lang w:val="pl-PL"/>
        </w:rPr>
        <w:t>Santorski &amp; Co</w:t>
      </w:r>
      <w:proofErr w:type="gramEnd"/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Agencja Wydawnicza, Warszawa 2009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F00B13">
        <w:rPr>
          <w:rFonts w:asciiTheme="majorHAnsi" w:hAnsiTheme="majorHAnsi" w:cstheme="majorHAnsi"/>
          <w:sz w:val="24"/>
          <w:szCs w:val="24"/>
          <w:lang w:val="pl-PL"/>
        </w:rPr>
        <w:t>Schaffer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D.R., Kipp K., Psychologia rozwoju. Od dziecka do dorosłości, Harmonia, Gdańsk 2015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Swat-Pawlicka M., Pawlicki A., </w:t>
      </w:r>
      <w:r w:rsidRPr="00F00B13">
        <w:rPr>
          <w:rFonts w:asciiTheme="majorHAnsi" w:hAnsiTheme="majorHAnsi" w:cstheme="majorHAnsi"/>
          <w:i/>
          <w:sz w:val="24"/>
          <w:szCs w:val="24"/>
          <w:lang w:val="pl-PL"/>
        </w:rPr>
        <w:t>Analiza niektórych danych w związku z wymaganiem Uczniowie są aktywni, System Ewaluacji Oświaty</w:t>
      </w:r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[online dostęp dn.24.07.2018]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00B13">
        <w:rPr>
          <w:rFonts w:asciiTheme="majorHAnsi" w:hAnsiTheme="majorHAnsi" w:cstheme="majorHAnsi"/>
          <w:sz w:val="24"/>
          <w:szCs w:val="24"/>
          <w:lang w:val="pl-PL"/>
        </w:rPr>
        <w:lastRenderedPageBreak/>
        <w:t xml:space="preserve">Taraszkiewicz M., Plewka Cz., </w:t>
      </w:r>
      <w:r w:rsidRPr="00F00B13">
        <w:rPr>
          <w:rFonts w:asciiTheme="majorHAnsi" w:hAnsiTheme="majorHAnsi" w:cstheme="majorHAnsi"/>
          <w:i/>
          <w:sz w:val="24"/>
          <w:szCs w:val="24"/>
          <w:lang w:val="pl-PL"/>
        </w:rPr>
        <w:t>Uczymy się uczyć</w:t>
      </w:r>
      <w:r w:rsidRPr="00F00B13">
        <w:rPr>
          <w:rFonts w:asciiTheme="majorHAnsi" w:hAnsiTheme="majorHAnsi" w:cstheme="majorHAnsi"/>
          <w:sz w:val="24"/>
          <w:szCs w:val="24"/>
          <w:lang w:val="pl-PL"/>
        </w:rPr>
        <w:t>, Towarzystwo Wiedzy Powszechnej, Warszawa 2010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F00B13">
        <w:rPr>
          <w:rFonts w:asciiTheme="majorHAnsi" w:hAnsiTheme="majorHAnsi" w:cstheme="majorHAnsi"/>
          <w:sz w:val="24"/>
          <w:szCs w:val="24"/>
          <w:lang w:val="pl-PL"/>
        </w:rPr>
        <w:t>Tędziagolska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M., </w:t>
      </w:r>
      <w:r w:rsidRPr="00F00B13">
        <w:rPr>
          <w:rFonts w:asciiTheme="majorHAnsi" w:hAnsiTheme="majorHAnsi" w:cstheme="majorHAnsi"/>
          <w:i/>
          <w:sz w:val="24"/>
          <w:szCs w:val="24"/>
          <w:lang w:val="pl-PL"/>
        </w:rPr>
        <w:t>W jaki sposób szkoła mówi, że warto się uczyć?,</w:t>
      </w:r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 System Ewaluacji </w:t>
      </w:r>
      <w:proofErr w:type="gramStart"/>
      <w:r w:rsidRPr="00F00B13">
        <w:rPr>
          <w:rFonts w:asciiTheme="majorHAnsi" w:hAnsiTheme="majorHAnsi" w:cstheme="majorHAnsi"/>
          <w:sz w:val="24"/>
          <w:szCs w:val="24"/>
          <w:lang w:val="pl-PL"/>
        </w:rPr>
        <w:t>Oświaty [online</w:t>
      </w:r>
      <w:proofErr w:type="gramEnd"/>
      <w:r w:rsidRPr="00F00B13">
        <w:rPr>
          <w:rFonts w:asciiTheme="majorHAnsi" w:hAnsiTheme="majorHAnsi" w:cstheme="majorHAnsi"/>
          <w:sz w:val="24"/>
          <w:szCs w:val="24"/>
          <w:lang w:val="pl-PL"/>
        </w:rPr>
        <w:t>, dostęp dn. 24.07.2018]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9842EA" w:rsidRPr="00F00B13" w:rsidRDefault="009842EA" w:rsidP="008875DA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00B13">
        <w:rPr>
          <w:rFonts w:asciiTheme="majorHAnsi" w:hAnsiTheme="majorHAnsi" w:cstheme="majorHAnsi"/>
          <w:sz w:val="24"/>
          <w:szCs w:val="24"/>
          <w:lang w:val="pl-PL"/>
        </w:rPr>
        <w:t xml:space="preserve">Weber E., </w:t>
      </w:r>
      <w:r w:rsidRPr="00F00B13">
        <w:rPr>
          <w:rFonts w:asciiTheme="majorHAnsi" w:hAnsiTheme="majorHAnsi" w:cstheme="majorHAnsi"/>
          <w:i/>
          <w:sz w:val="24"/>
          <w:szCs w:val="24"/>
          <w:lang w:val="pl-PL"/>
        </w:rPr>
        <w:t xml:space="preserve">Najskuteczniejsze strategie nauczania i uczenia </w:t>
      </w:r>
      <w:proofErr w:type="gramStart"/>
      <w:r w:rsidRPr="00F00B13">
        <w:rPr>
          <w:rFonts w:asciiTheme="majorHAnsi" w:hAnsiTheme="majorHAnsi" w:cstheme="majorHAnsi"/>
          <w:i/>
          <w:sz w:val="24"/>
          <w:szCs w:val="24"/>
          <w:lang w:val="pl-PL"/>
        </w:rPr>
        <w:t>się według prof</w:t>
      </w:r>
      <w:proofErr w:type="gramEnd"/>
      <w:r w:rsidRPr="00F00B13">
        <w:rPr>
          <w:rFonts w:asciiTheme="majorHAnsi" w:hAnsiTheme="majorHAnsi" w:cstheme="majorHAnsi"/>
          <w:i/>
          <w:sz w:val="24"/>
          <w:szCs w:val="24"/>
          <w:lang w:val="pl-PL"/>
        </w:rPr>
        <w:t xml:space="preserve">. Johna </w:t>
      </w:r>
      <w:proofErr w:type="spellStart"/>
      <w:r w:rsidRPr="00F00B13">
        <w:rPr>
          <w:rFonts w:asciiTheme="majorHAnsi" w:hAnsiTheme="majorHAnsi" w:cstheme="majorHAnsi"/>
          <w:i/>
          <w:sz w:val="24"/>
          <w:szCs w:val="24"/>
          <w:lang w:val="pl-PL"/>
        </w:rPr>
        <w:t>Hattie</w:t>
      </w:r>
      <w:proofErr w:type="spellEnd"/>
      <w:r w:rsidRPr="00F00B13">
        <w:rPr>
          <w:rFonts w:asciiTheme="majorHAnsi" w:hAnsiTheme="majorHAnsi" w:cstheme="majorHAnsi"/>
          <w:sz w:val="24"/>
          <w:szCs w:val="24"/>
          <w:lang w:val="pl-PL"/>
        </w:rPr>
        <w:t>, Meritum, nr 3/2014, s.11-17</w:t>
      </w:r>
      <w:r w:rsidR="001906AB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9842EA" w:rsidRPr="009842EA" w:rsidRDefault="009842EA" w:rsidP="008875DA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9842EA" w:rsidRPr="009842EA" w:rsidRDefault="009842EA" w:rsidP="006A4FFF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9842EA" w:rsidRDefault="0021490D" w:rsidP="00985399">
      <w:pPr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9842EA" w:rsidSect="009B10AF">
      <w:headerReference w:type="default" r:id="rId11"/>
      <w:footerReference w:type="default" r:id="rId1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563" w:rsidRDefault="00953563" w:rsidP="004341AF">
      <w:r>
        <w:separator/>
      </w:r>
    </w:p>
  </w:endnote>
  <w:endnote w:type="continuationSeparator" w:id="0">
    <w:p w:rsidR="00953563" w:rsidRDefault="00953563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5542360"/>
      <w:docPartObj>
        <w:docPartGallery w:val="Page Numbers (Bottom of Page)"/>
        <w:docPartUnique/>
      </w:docPartObj>
    </w:sdtPr>
    <w:sdtContent>
      <w:p w:rsidR="008875DA" w:rsidRDefault="00425F46">
        <w:pPr>
          <w:pStyle w:val="Stopka"/>
          <w:jc w:val="right"/>
        </w:pPr>
        <w:fldSimple w:instr=" PAGE   \* MERGEFORMAT ">
          <w:r w:rsidR="008D56BC">
            <w:rPr>
              <w:noProof/>
            </w:rPr>
            <w:t>2</w:t>
          </w:r>
        </w:fldSimple>
      </w:p>
    </w:sdtContent>
  </w:sdt>
  <w:p w:rsidR="008875DA" w:rsidRDefault="008875D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563" w:rsidRDefault="00953563" w:rsidP="004341AF">
      <w:r>
        <w:separator/>
      </w:r>
    </w:p>
  </w:footnote>
  <w:footnote w:type="continuationSeparator" w:id="0">
    <w:p w:rsidR="00953563" w:rsidRDefault="00953563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5DA" w:rsidRDefault="00487458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4852670</wp:posOffset>
          </wp:positionH>
          <wp:positionV relativeFrom="margin">
            <wp:posOffset>-915035</wp:posOffset>
          </wp:positionV>
          <wp:extent cx="704850" cy="633095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33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75DA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-412115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75DA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-335915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75DA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-554990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875DA" w:rsidRDefault="008875DA">
    <w:pPr>
      <w:pStyle w:val="Nagwek"/>
    </w:pPr>
  </w:p>
  <w:p w:rsidR="008875DA" w:rsidRDefault="008875DA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7854"/>
    <w:multiLevelType w:val="hybridMultilevel"/>
    <w:tmpl w:val="18F0F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40ECB"/>
    <w:multiLevelType w:val="hybridMultilevel"/>
    <w:tmpl w:val="50204BE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12480871"/>
    <w:multiLevelType w:val="hybridMultilevel"/>
    <w:tmpl w:val="153CE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41659"/>
    <w:multiLevelType w:val="hybridMultilevel"/>
    <w:tmpl w:val="12F48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9C2050"/>
    <w:multiLevelType w:val="hybridMultilevel"/>
    <w:tmpl w:val="A0AA492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9A4B7F"/>
    <w:multiLevelType w:val="hybridMultilevel"/>
    <w:tmpl w:val="06F68E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FB4717"/>
    <w:multiLevelType w:val="hybridMultilevel"/>
    <w:tmpl w:val="339417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49698D"/>
    <w:multiLevelType w:val="hybridMultilevel"/>
    <w:tmpl w:val="383A94D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AA6C59"/>
    <w:multiLevelType w:val="hybridMultilevel"/>
    <w:tmpl w:val="A072A2F4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>
    <w:nsid w:val="65A23177"/>
    <w:multiLevelType w:val="hybridMultilevel"/>
    <w:tmpl w:val="BD6C55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6B107D"/>
    <w:multiLevelType w:val="hybridMultilevel"/>
    <w:tmpl w:val="5AE0B3E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9"/>
  </w:num>
  <w:num w:numId="5">
    <w:abstractNumId w:val="18"/>
  </w:num>
  <w:num w:numId="6">
    <w:abstractNumId w:val="0"/>
  </w:num>
  <w:num w:numId="7">
    <w:abstractNumId w:val="10"/>
  </w:num>
  <w:num w:numId="8">
    <w:abstractNumId w:val="19"/>
  </w:num>
  <w:num w:numId="9">
    <w:abstractNumId w:val="4"/>
  </w:num>
  <w:num w:numId="10">
    <w:abstractNumId w:val="15"/>
  </w:num>
  <w:num w:numId="11">
    <w:abstractNumId w:val="3"/>
  </w:num>
  <w:num w:numId="12">
    <w:abstractNumId w:val="5"/>
  </w:num>
  <w:num w:numId="13">
    <w:abstractNumId w:val="2"/>
  </w:num>
  <w:num w:numId="14">
    <w:abstractNumId w:val="14"/>
  </w:num>
  <w:num w:numId="15">
    <w:abstractNumId w:val="1"/>
  </w:num>
  <w:num w:numId="16">
    <w:abstractNumId w:val="12"/>
  </w:num>
  <w:num w:numId="17">
    <w:abstractNumId w:val="20"/>
  </w:num>
  <w:num w:numId="18">
    <w:abstractNumId w:val="11"/>
  </w:num>
  <w:num w:numId="19">
    <w:abstractNumId w:val="8"/>
  </w:num>
  <w:num w:numId="20">
    <w:abstractNumId w:val="17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18A"/>
    <w:rsid w:val="0006549B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1D55"/>
    <w:rsid w:val="001546AE"/>
    <w:rsid w:val="0017449A"/>
    <w:rsid w:val="001906AB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6431"/>
    <w:rsid w:val="00287DBB"/>
    <w:rsid w:val="002B698F"/>
    <w:rsid w:val="002B75CC"/>
    <w:rsid w:val="002D18B3"/>
    <w:rsid w:val="002E6031"/>
    <w:rsid w:val="00306EFD"/>
    <w:rsid w:val="00312172"/>
    <w:rsid w:val="00331BCC"/>
    <w:rsid w:val="00333DF9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D1868"/>
    <w:rsid w:val="003E1B59"/>
    <w:rsid w:val="003F146F"/>
    <w:rsid w:val="003F2827"/>
    <w:rsid w:val="00413006"/>
    <w:rsid w:val="00425F46"/>
    <w:rsid w:val="00426E43"/>
    <w:rsid w:val="004341AF"/>
    <w:rsid w:val="004533FE"/>
    <w:rsid w:val="00464344"/>
    <w:rsid w:val="00476BB7"/>
    <w:rsid w:val="004817BC"/>
    <w:rsid w:val="00483D99"/>
    <w:rsid w:val="00487458"/>
    <w:rsid w:val="004934CF"/>
    <w:rsid w:val="004C101F"/>
    <w:rsid w:val="004C6534"/>
    <w:rsid w:val="004E7722"/>
    <w:rsid w:val="004F11A4"/>
    <w:rsid w:val="004F59B4"/>
    <w:rsid w:val="00514D1A"/>
    <w:rsid w:val="0054461A"/>
    <w:rsid w:val="00565B10"/>
    <w:rsid w:val="00577304"/>
    <w:rsid w:val="00586F80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13A7"/>
    <w:rsid w:val="006851DE"/>
    <w:rsid w:val="00690470"/>
    <w:rsid w:val="006A4FFF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9475A"/>
    <w:rsid w:val="007A1C8A"/>
    <w:rsid w:val="007A2B14"/>
    <w:rsid w:val="007B3B2B"/>
    <w:rsid w:val="007C337D"/>
    <w:rsid w:val="0081354E"/>
    <w:rsid w:val="00813951"/>
    <w:rsid w:val="008205A7"/>
    <w:rsid w:val="00823551"/>
    <w:rsid w:val="00824644"/>
    <w:rsid w:val="008308EA"/>
    <w:rsid w:val="00851CE9"/>
    <w:rsid w:val="008866D2"/>
    <w:rsid w:val="008875DA"/>
    <w:rsid w:val="008A7CC9"/>
    <w:rsid w:val="008B6253"/>
    <w:rsid w:val="008C09FC"/>
    <w:rsid w:val="008D56BC"/>
    <w:rsid w:val="009100AE"/>
    <w:rsid w:val="00953563"/>
    <w:rsid w:val="009842EA"/>
    <w:rsid w:val="00985399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77C53"/>
    <w:rsid w:val="00A84E1A"/>
    <w:rsid w:val="00AC4248"/>
    <w:rsid w:val="00AC45AA"/>
    <w:rsid w:val="00AE61E4"/>
    <w:rsid w:val="00AE7F1C"/>
    <w:rsid w:val="00AF03D9"/>
    <w:rsid w:val="00AF0D4B"/>
    <w:rsid w:val="00AF1BD1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83AD3"/>
    <w:rsid w:val="00CA169D"/>
    <w:rsid w:val="00CB08DE"/>
    <w:rsid w:val="00CF12A2"/>
    <w:rsid w:val="00D12C1D"/>
    <w:rsid w:val="00D24AF9"/>
    <w:rsid w:val="00D359E7"/>
    <w:rsid w:val="00D50671"/>
    <w:rsid w:val="00D51762"/>
    <w:rsid w:val="00D54612"/>
    <w:rsid w:val="00D73644"/>
    <w:rsid w:val="00D8244A"/>
    <w:rsid w:val="00DA125D"/>
    <w:rsid w:val="00DA5549"/>
    <w:rsid w:val="00DA7FDB"/>
    <w:rsid w:val="00DC587F"/>
    <w:rsid w:val="00DC5AE1"/>
    <w:rsid w:val="00DE1629"/>
    <w:rsid w:val="00DF0656"/>
    <w:rsid w:val="00DF427B"/>
    <w:rsid w:val="00E06A68"/>
    <w:rsid w:val="00E21D4D"/>
    <w:rsid w:val="00E30405"/>
    <w:rsid w:val="00E5638F"/>
    <w:rsid w:val="00E75811"/>
    <w:rsid w:val="00E83F80"/>
    <w:rsid w:val="00EB343F"/>
    <w:rsid w:val="00EC0627"/>
    <w:rsid w:val="00ED1D53"/>
    <w:rsid w:val="00EF2124"/>
    <w:rsid w:val="00F00B13"/>
    <w:rsid w:val="00F113DA"/>
    <w:rsid w:val="00F114E3"/>
    <w:rsid w:val="00F13743"/>
    <w:rsid w:val="00F20CA2"/>
    <w:rsid w:val="00F26898"/>
    <w:rsid w:val="00F31841"/>
    <w:rsid w:val="00F35CBC"/>
    <w:rsid w:val="00F45A6D"/>
    <w:rsid w:val="00F61CC5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2vdNZWarH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npseo.pl/data/various/files/Sesja%20I_3%20Jacek%20Strzemieczny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pseo.pl/data/various/files/Sesja%20I_3%20Jacek%20Strzemieczny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1F160-C7A4-4E24-B1C8-A7866304A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1966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16</cp:revision>
  <cp:lastPrinted>2018-07-13T07:26:00Z</cp:lastPrinted>
  <dcterms:created xsi:type="dcterms:W3CDTF">2018-12-11T12:05:00Z</dcterms:created>
  <dcterms:modified xsi:type="dcterms:W3CDTF">2019-03-16T18:02:00Z</dcterms:modified>
</cp:coreProperties>
</file>